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45274" w14:textId="63D922A1" w:rsidR="006B0EB1" w:rsidRDefault="00CA7CC2" w:rsidP="00624A99">
      <w:pPr>
        <w:spacing w:before="120" w:after="120" w:line="240" w:lineRule="auto"/>
        <w:ind w:right="394"/>
        <w:rPr>
          <w:rFonts w:eastAsia="Arial"/>
          <w:b/>
          <w:sz w:val="36"/>
          <w:szCs w:val="36"/>
        </w:rPr>
      </w:pPr>
      <w:r>
        <w:rPr>
          <w:rFonts w:eastAsia="Arial"/>
          <w:b/>
          <w:sz w:val="36"/>
          <w:szCs w:val="36"/>
        </w:rPr>
        <w:t>Call-Off Schedule 23 (HMRC Terms)</w:t>
      </w:r>
    </w:p>
    <w:p w14:paraId="35EA91AC" w14:textId="4C3BD426" w:rsidR="00C154BB" w:rsidRPr="00400489" w:rsidRDefault="00C154BB" w:rsidP="00624A99">
      <w:pPr>
        <w:spacing w:before="120" w:after="120" w:line="240" w:lineRule="auto"/>
        <w:rPr>
          <w:color w:val="auto"/>
        </w:rPr>
      </w:pPr>
    </w:p>
    <w:p w14:paraId="02E34516"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r w:rsidRPr="00400489">
        <w:rPr>
          <w:rFonts w:ascii="Arial" w:eastAsia="Arial" w:hAnsi="Arial" w:cs="Arial"/>
          <w:b/>
          <w:color w:val="000000"/>
          <w:sz w:val="24"/>
          <w:szCs w:val="24"/>
        </w:rPr>
        <w:t xml:space="preserve">Definitions </w:t>
      </w:r>
    </w:p>
    <w:p w14:paraId="63DE090C" w14:textId="77777777" w:rsidR="006B0EB1" w:rsidRPr="00400489" w:rsidRDefault="00CA7CC2" w:rsidP="00624A99">
      <w:pPr>
        <w:keepNext/>
        <w:numPr>
          <w:ilvl w:val="1"/>
          <w:numId w:val="1"/>
        </w:numPr>
        <w:pBdr>
          <w:top w:val="nil"/>
          <w:left w:val="nil"/>
          <w:bottom w:val="nil"/>
          <w:right w:val="nil"/>
          <w:between w:val="nil"/>
        </w:pBdr>
        <w:tabs>
          <w:tab w:val="left" w:pos="1134"/>
        </w:tabs>
        <w:spacing w:before="120" w:after="120" w:line="240" w:lineRule="auto"/>
        <w:ind w:left="1134" w:hanging="708"/>
        <w:rPr>
          <w:rFonts w:eastAsia="Arial"/>
        </w:rPr>
      </w:pPr>
      <w:r w:rsidRPr="00400489">
        <w:rPr>
          <w:rFonts w:eastAsia="Arial"/>
        </w:rPr>
        <w:t xml:space="preserve">In this Schedule, the following words have the following </w:t>
      </w:r>
      <w:proofErr w:type="gramStart"/>
      <w:r w:rsidRPr="00400489">
        <w:rPr>
          <w:rFonts w:eastAsia="Arial"/>
        </w:rPr>
        <w:t>meanings</w:t>
      </w:r>
      <w:proofErr w:type="gramEnd"/>
      <w:r w:rsidRPr="00400489">
        <w:rPr>
          <w:rFonts w:eastAsia="Arial"/>
        </w:rPr>
        <w:t xml:space="preserve"> and they shall supplement Joint Schedule 1 </w:t>
      </w:r>
      <w:r w:rsidRPr="00400489">
        <w:rPr>
          <w:rFonts w:eastAsia="Arial"/>
          <w:i/>
        </w:rPr>
        <w:t>(Definitions)</w:t>
      </w:r>
      <w:r w:rsidRPr="00400489">
        <w:rPr>
          <w:rFonts w:eastAsia="Arial"/>
        </w:rPr>
        <w:t>:</w:t>
      </w:r>
    </w:p>
    <w:tbl>
      <w:tblPr>
        <w:tblStyle w:val="a"/>
        <w:tblW w:w="7919" w:type="dxa"/>
        <w:tblInd w:w="993" w:type="dxa"/>
        <w:tblLayout w:type="fixed"/>
        <w:tblLook w:val="0000" w:firstRow="0" w:lastRow="0" w:firstColumn="0" w:lastColumn="0" w:noHBand="0" w:noVBand="0"/>
      </w:tblPr>
      <w:tblGrid>
        <w:gridCol w:w="2835"/>
        <w:gridCol w:w="5084"/>
      </w:tblGrid>
      <w:tr w:rsidR="006B0EB1" w:rsidRPr="00400489" w14:paraId="3A7DBB92" w14:textId="77777777" w:rsidTr="00400489">
        <w:tc>
          <w:tcPr>
            <w:tcW w:w="2835" w:type="dxa"/>
          </w:tcPr>
          <w:p w14:paraId="580E0A12" w14:textId="77777777" w:rsidR="006B0EB1" w:rsidRPr="00400489" w:rsidRDefault="00CA7CC2" w:rsidP="00624A99">
            <w:pPr>
              <w:spacing w:before="120" w:after="120" w:line="240" w:lineRule="auto"/>
              <w:ind w:left="209"/>
              <w:rPr>
                <w:rFonts w:eastAsia="Arial"/>
                <w:b/>
              </w:rPr>
            </w:pPr>
            <w:r w:rsidRPr="00400489">
              <w:rPr>
                <w:rFonts w:eastAsia="Arial"/>
                <w:b/>
              </w:rPr>
              <w:t>“Connected Company”</w:t>
            </w:r>
          </w:p>
        </w:tc>
        <w:tc>
          <w:tcPr>
            <w:tcW w:w="5084" w:type="dxa"/>
          </w:tcPr>
          <w:p w14:paraId="3638C22B" w14:textId="74195B97" w:rsidR="006B0EB1" w:rsidRPr="00400489" w:rsidRDefault="00CA7CC2" w:rsidP="00624A99">
            <w:pPr>
              <w:spacing w:before="120" w:after="120" w:line="240" w:lineRule="auto"/>
              <w:rPr>
                <w:rFonts w:eastAsia="Arial"/>
              </w:rPr>
            </w:pPr>
            <w:r w:rsidRPr="00400489">
              <w:rPr>
                <w:rFonts w:eastAsia="Arial"/>
              </w:rPr>
              <w:t>in relation to a company, entity or other person, the Affiliates of that company, entity or other person or any other person associated with such company, entity or other person;</w:t>
            </w:r>
          </w:p>
        </w:tc>
      </w:tr>
      <w:tr w:rsidR="006B0EB1" w:rsidRPr="00400489" w14:paraId="0A45F154" w14:textId="77777777" w:rsidTr="00400489">
        <w:tc>
          <w:tcPr>
            <w:tcW w:w="2835" w:type="dxa"/>
          </w:tcPr>
          <w:p w14:paraId="0491A29D" w14:textId="77777777" w:rsidR="006B0EB1" w:rsidRPr="00400489" w:rsidRDefault="00CA7CC2" w:rsidP="00624A99">
            <w:pPr>
              <w:spacing w:before="120" w:after="120" w:line="240" w:lineRule="auto"/>
              <w:ind w:left="209"/>
              <w:rPr>
                <w:rFonts w:eastAsia="Arial"/>
                <w:b/>
              </w:rPr>
            </w:pPr>
            <w:r w:rsidRPr="00400489">
              <w:rPr>
                <w:rFonts w:eastAsia="Arial"/>
                <w:b/>
              </w:rPr>
              <w:t>“Control”</w:t>
            </w:r>
          </w:p>
        </w:tc>
        <w:tc>
          <w:tcPr>
            <w:tcW w:w="5084" w:type="dxa"/>
          </w:tcPr>
          <w:p w14:paraId="51CEEC24" w14:textId="65B27663" w:rsidR="006B0EB1" w:rsidRPr="00400489" w:rsidRDefault="00CA7CC2" w:rsidP="00624A99">
            <w:pPr>
              <w:spacing w:before="120" w:after="120" w:line="240" w:lineRule="auto"/>
              <w:rPr>
                <w:rFonts w:eastAsia="Arial"/>
              </w:rPr>
            </w:pPr>
            <w:r w:rsidRPr="00400489">
              <w:rPr>
                <w:rFonts w:eastAsia="Arial"/>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w:t>
            </w:r>
            <w:proofErr w:type="gramStart"/>
            <w:r w:rsidRPr="00400489">
              <w:rPr>
                <w:rFonts w:eastAsia="Arial"/>
              </w:rPr>
              <w:t>interpreted accordingly;</w:t>
            </w:r>
            <w:proofErr w:type="gramEnd"/>
          </w:p>
        </w:tc>
      </w:tr>
      <w:tr w:rsidR="006B0EB1" w:rsidRPr="00400489" w14:paraId="7203F418" w14:textId="77777777" w:rsidTr="00400489">
        <w:tc>
          <w:tcPr>
            <w:tcW w:w="2835" w:type="dxa"/>
          </w:tcPr>
          <w:p w14:paraId="3847EB99" w14:textId="77777777" w:rsidR="006B0EB1" w:rsidRPr="00400489" w:rsidRDefault="00CA7CC2" w:rsidP="00624A99">
            <w:pPr>
              <w:spacing w:before="120" w:after="120" w:line="240" w:lineRule="auto"/>
              <w:ind w:left="209"/>
              <w:rPr>
                <w:rFonts w:eastAsia="Arial"/>
                <w:b/>
              </w:rPr>
            </w:pPr>
            <w:r w:rsidRPr="00400489">
              <w:rPr>
                <w:rFonts w:eastAsia="Arial"/>
                <w:b/>
              </w:rPr>
              <w:t>“Prohibited Transaction”</w:t>
            </w:r>
          </w:p>
        </w:tc>
        <w:tc>
          <w:tcPr>
            <w:tcW w:w="5084" w:type="dxa"/>
          </w:tcPr>
          <w:p w14:paraId="631BA03C" w14:textId="2B35A543" w:rsidR="006B0EB1" w:rsidRPr="00400489" w:rsidRDefault="00CA7CC2" w:rsidP="00624A99">
            <w:pPr>
              <w:numPr>
                <w:ilvl w:val="0"/>
                <w:numId w:val="2"/>
              </w:numPr>
              <w:pBdr>
                <w:top w:val="nil"/>
                <w:left w:val="nil"/>
                <w:bottom w:val="nil"/>
                <w:right w:val="nil"/>
                <w:between w:val="nil"/>
              </w:pBdr>
              <w:spacing w:before="120" w:after="120" w:line="240" w:lineRule="auto"/>
              <w:rPr>
                <w:rFonts w:eastAsia="Arial"/>
              </w:rPr>
            </w:pPr>
            <w:r w:rsidRPr="00400489">
              <w:rPr>
                <w:rFonts w:eastAsia="Arial"/>
              </w:rPr>
              <w:t xml:space="preserve">any arrangements involving the use of </w:t>
            </w:r>
            <w:proofErr w:type="gramStart"/>
            <w:r w:rsidRPr="00400489">
              <w:rPr>
                <w:rFonts w:eastAsia="Arial"/>
              </w:rPr>
              <w:t>off-shore</w:t>
            </w:r>
            <w:proofErr w:type="gramEnd"/>
            <w:r w:rsidRPr="00400489">
              <w:rPr>
                <w:rFonts w:eastAsia="Arial"/>
              </w:rPr>
              <w:t xml:space="preserve"> companies or other off-shore entities the main purpose, or one of the main purposes, of which is to achieve a reduction in United Kingdom Tax of any description otherwise payable by the Supplier or a Connected Company on or in connection with the Charges; or </w:t>
            </w:r>
          </w:p>
          <w:p w14:paraId="4802608A" w14:textId="124985D5" w:rsidR="006B0EB1" w:rsidRPr="00400489" w:rsidRDefault="00CA7CC2" w:rsidP="00624A99">
            <w:pPr>
              <w:numPr>
                <w:ilvl w:val="0"/>
                <w:numId w:val="2"/>
              </w:numPr>
              <w:pBdr>
                <w:top w:val="nil"/>
                <w:left w:val="nil"/>
                <w:bottom w:val="nil"/>
                <w:right w:val="nil"/>
                <w:between w:val="nil"/>
              </w:pBdr>
              <w:spacing w:before="120" w:after="120" w:line="240" w:lineRule="auto"/>
              <w:rPr>
                <w:rFonts w:eastAsia="Arial"/>
              </w:rPr>
            </w:pPr>
            <w:r w:rsidRPr="00400489">
              <w:rPr>
                <w:rFonts w:eastAsia="Arial"/>
              </w:rPr>
              <w:t>which would be payable by any Key Subcontractor and its Connected Companies on or in connection with payments made by or on behalf of the Supplier under or pursuant to the applicable Key Subcontract,</w:t>
            </w:r>
          </w:p>
          <w:p w14:paraId="5AC5D186" w14:textId="1E200620" w:rsidR="006B0EB1" w:rsidRPr="00400489" w:rsidRDefault="00CA7CC2" w:rsidP="00624A99">
            <w:pPr>
              <w:spacing w:before="120" w:after="120" w:line="240" w:lineRule="auto"/>
              <w:rPr>
                <w:rFonts w:eastAsia="Arial"/>
              </w:rPr>
            </w:pPr>
            <w:r w:rsidRPr="00400489">
              <w:rPr>
                <w:rFonts w:eastAsia="Arial"/>
              </w:rPr>
              <w:t>other than transactions made between the Supplier and its Connected Companies or a Key Subcontractor and its Connected Companies on terms which are at arms-length and are entered into in the ordinary course of the transacting parties’ business;</w:t>
            </w:r>
          </w:p>
        </w:tc>
      </w:tr>
      <w:tr w:rsidR="006B0EB1" w:rsidRPr="00400489" w14:paraId="782BEF72" w14:textId="77777777" w:rsidTr="00400489">
        <w:tc>
          <w:tcPr>
            <w:tcW w:w="2835" w:type="dxa"/>
          </w:tcPr>
          <w:p w14:paraId="1CB82492" w14:textId="77777777" w:rsidR="006B0EB1" w:rsidRPr="00400489" w:rsidRDefault="00CA7CC2" w:rsidP="00624A99">
            <w:pPr>
              <w:spacing w:before="120" w:after="120" w:line="240" w:lineRule="auto"/>
              <w:ind w:left="209"/>
              <w:rPr>
                <w:rFonts w:eastAsia="Arial"/>
                <w:b/>
              </w:rPr>
            </w:pPr>
            <w:r w:rsidRPr="00400489">
              <w:rPr>
                <w:rFonts w:eastAsia="Arial"/>
                <w:b/>
              </w:rPr>
              <w:t>“Purchase Order Number” </w:t>
            </w:r>
          </w:p>
        </w:tc>
        <w:tc>
          <w:tcPr>
            <w:tcW w:w="5084" w:type="dxa"/>
          </w:tcPr>
          <w:p w14:paraId="5F5FC596" w14:textId="77777777" w:rsidR="006B0EB1" w:rsidRPr="00400489" w:rsidRDefault="00CA7CC2" w:rsidP="00624A99">
            <w:pPr>
              <w:spacing w:before="120" w:after="120" w:line="240" w:lineRule="auto"/>
              <w:rPr>
                <w:rFonts w:eastAsia="Arial"/>
              </w:rPr>
            </w:pPr>
            <w:r w:rsidRPr="00400489">
              <w:rPr>
                <w:rFonts w:eastAsia="Arial"/>
              </w:rPr>
              <w:t>the Buyer’s unique number relating to the supply of the Deliverables;  </w:t>
            </w:r>
          </w:p>
        </w:tc>
      </w:tr>
      <w:tr w:rsidR="006B0EB1" w:rsidRPr="00400489" w14:paraId="38834981" w14:textId="77777777" w:rsidTr="00400489">
        <w:tc>
          <w:tcPr>
            <w:tcW w:w="2835" w:type="dxa"/>
          </w:tcPr>
          <w:p w14:paraId="488DCE17" w14:textId="77777777" w:rsidR="006B0EB1" w:rsidRPr="00400489" w:rsidRDefault="00CA7CC2" w:rsidP="00624A99">
            <w:pPr>
              <w:spacing w:before="120" w:after="120" w:line="240" w:lineRule="auto"/>
              <w:ind w:left="209"/>
              <w:rPr>
                <w:rFonts w:eastAsia="Arial"/>
                <w:b/>
              </w:rPr>
            </w:pPr>
            <w:r w:rsidRPr="00400489">
              <w:rPr>
                <w:rFonts w:eastAsia="Arial"/>
                <w:b/>
              </w:rPr>
              <w:lastRenderedPageBreak/>
              <w:t>“Supporting Documentation”</w:t>
            </w:r>
          </w:p>
        </w:tc>
        <w:tc>
          <w:tcPr>
            <w:tcW w:w="5084" w:type="dxa"/>
          </w:tcPr>
          <w:p w14:paraId="032834EE" w14:textId="77777777" w:rsidR="006B0EB1" w:rsidRPr="00400489" w:rsidRDefault="00CA7CC2" w:rsidP="00624A99">
            <w:pPr>
              <w:spacing w:before="120" w:after="120" w:line="240" w:lineRule="auto"/>
              <w:rPr>
                <w:rFonts w:eastAsia="Arial"/>
              </w:rPr>
            </w:pPr>
            <w:r w:rsidRPr="00400489">
              <w:rPr>
                <w:rFonts w:eastAsia="Arial"/>
              </w:rPr>
              <w:t>sufficient information in writing to enable the Buyer to reasonably verify the accuracy of any invoice; and</w:t>
            </w:r>
          </w:p>
        </w:tc>
      </w:tr>
      <w:tr w:rsidR="006B0EB1" w:rsidRPr="00400489" w14:paraId="0AAE869D" w14:textId="77777777" w:rsidTr="00400489">
        <w:tc>
          <w:tcPr>
            <w:tcW w:w="2835" w:type="dxa"/>
          </w:tcPr>
          <w:p w14:paraId="1FA7B8CD" w14:textId="77777777" w:rsidR="006B0EB1" w:rsidRPr="00400489" w:rsidRDefault="00CA7CC2" w:rsidP="00624A99">
            <w:pPr>
              <w:spacing w:before="120" w:after="120" w:line="240" w:lineRule="auto"/>
              <w:ind w:left="209"/>
              <w:rPr>
                <w:rFonts w:eastAsia="Arial"/>
                <w:b/>
              </w:rPr>
            </w:pPr>
            <w:r w:rsidRPr="00400489">
              <w:rPr>
                <w:rFonts w:eastAsia="Arial"/>
                <w:b/>
              </w:rPr>
              <w:t>“Tax Compliance Failure”</w:t>
            </w:r>
          </w:p>
          <w:p w14:paraId="00696047" w14:textId="77777777" w:rsidR="006B0EB1" w:rsidRPr="00400489" w:rsidRDefault="006B0EB1" w:rsidP="00624A99">
            <w:pPr>
              <w:spacing w:before="120" w:after="120" w:line="240" w:lineRule="auto"/>
              <w:ind w:left="209"/>
              <w:rPr>
                <w:rFonts w:eastAsia="Arial"/>
                <w:b/>
              </w:rPr>
            </w:pPr>
          </w:p>
        </w:tc>
        <w:tc>
          <w:tcPr>
            <w:tcW w:w="5084" w:type="dxa"/>
          </w:tcPr>
          <w:p w14:paraId="659F2210" w14:textId="77777777" w:rsidR="006B0EB1" w:rsidRPr="00400489" w:rsidRDefault="00CA7CC2" w:rsidP="00624A99">
            <w:pPr>
              <w:tabs>
                <w:tab w:val="left" w:pos="-75"/>
              </w:tabs>
              <w:spacing w:before="120" w:after="120" w:line="240" w:lineRule="auto"/>
              <w:rPr>
                <w:rFonts w:eastAsia="Arial"/>
              </w:rPr>
            </w:pPr>
            <w:r w:rsidRPr="00400489">
              <w:rPr>
                <w:rFonts w:eastAsia="Arial"/>
              </w:rPr>
              <w:t>where an entity or person under consideration meets all 3 conditions contained in the relevant excerpt from HMRC’s “Test for Tax Non-Compliance”, as set out in Annex 1 (as amended and updated from time to time), where:</w:t>
            </w:r>
          </w:p>
          <w:p w14:paraId="5948E260" w14:textId="0087DCA2" w:rsidR="006B0EB1" w:rsidRPr="00CC0B86" w:rsidRDefault="00CA7CC2" w:rsidP="00624A99">
            <w:pPr>
              <w:numPr>
                <w:ilvl w:val="0"/>
                <w:numId w:val="8"/>
              </w:numPr>
              <w:pBdr>
                <w:top w:val="nil"/>
                <w:left w:val="nil"/>
                <w:bottom w:val="nil"/>
                <w:right w:val="nil"/>
                <w:between w:val="nil"/>
              </w:pBdr>
              <w:tabs>
                <w:tab w:val="left" w:pos="-75"/>
              </w:tabs>
              <w:spacing w:before="120" w:after="120" w:line="240" w:lineRule="auto"/>
              <w:ind w:left="736" w:hanging="691"/>
              <w:rPr>
                <w:rFonts w:eastAsia="Arial"/>
              </w:rPr>
            </w:pPr>
            <w:r w:rsidRPr="00400489">
              <w:rPr>
                <w:rFonts w:eastAsia="Arial"/>
              </w:rPr>
              <w:t xml:space="preserve">the “Economic Operator” means the </w:t>
            </w:r>
            <w:proofErr w:type="gramStart"/>
            <w:r w:rsidRPr="00400489">
              <w:rPr>
                <w:rFonts w:eastAsia="Arial"/>
              </w:rPr>
              <w:t>Supplier</w:t>
            </w:r>
            <w:proofErr w:type="gramEnd"/>
            <w:r w:rsidRPr="00400489">
              <w:rPr>
                <w:rFonts w:eastAsia="Arial"/>
              </w:rPr>
              <w:t xml:space="preserve"> or any agent, supplier or Subcontractor of the Supplier requested to be replaced pursuant to Paragraph 5.3; and </w:t>
            </w:r>
          </w:p>
          <w:p w14:paraId="5C2175BC" w14:textId="77777777" w:rsidR="006B0EB1" w:rsidRPr="00400489" w:rsidRDefault="00CA7CC2" w:rsidP="00624A99">
            <w:pPr>
              <w:numPr>
                <w:ilvl w:val="0"/>
                <w:numId w:val="8"/>
              </w:numPr>
              <w:pBdr>
                <w:top w:val="nil"/>
                <w:left w:val="nil"/>
                <w:bottom w:val="nil"/>
                <w:right w:val="nil"/>
                <w:between w:val="nil"/>
              </w:pBdr>
              <w:spacing w:before="120" w:after="120" w:line="240" w:lineRule="auto"/>
              <w:ind w:left="736" w:hanging="691"/>
              <w:rPr>
                <w:rFonts w:eastAsia="Arial"/>
              </w:rPr>
            </w:pPr>
            <w:r w:rsidRPr="00400489">
              <w:rPr>
                <w:rFonts w:eastAsia="Arial"/>
              </w:rPr>
              <w:t>any “Essential Subcontractor” means any Key Subcontractor.</w:t>
            </w:r>
          </w:p>
        </w:tc>
      </w:tr>
    </w:tbl>
    <w:p w14:paraId="646EFC4A" w14:textId="483962AD"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bookmarkStart w:id="0" w:name="_heading=h.30j0zll" w:colFirst="0" w:colLast="0"/>
      <w:bookmarkEnd w:id="0"/>
      <w:r w:rsidRPr="00400489">
        <w:rPr>
          <w:rFonts w:ascii="Arial" w:eastAsia="Arial" w:hAnsi="Arial" w:cs="Arial"/>
          <w:b/>
          <w:color w:val="000000"/>
          <w:sz w:val="24"/>
          <w:szCs w:val="24"/>
        </w:rPr>
        <w:t xml:space="preserve">Exclusion of certain </w:t>
      </w:r>
      <w:r w:rsidR="008D118E" w:rsidRPr="00400489">
        <w:rPr>
          <w:rFonts w:ascii="Arial" w:eastAsia="Arial" w:hAnsi="Arial" w:cs="Arial"/>
          <w:b/>
          <w:color w:val="000000"/>
          <w:sz w:val="24"/>
          <w:szCs w:val="24"/>
        </w:rPr>
        <w:t xml:space="preserve">General </w:t>
      </w:r>
      <w:r w:rsidRPr="00400489">
        <w:rPr>
          <w:rFonts w:ascii="Arial" w:eastAsia="Arial" w:hAnsi="Arial" w:cs="Arial"/>
          <w:b/>
          <w:color w:val="000000"/>
          <w:sz w:val="24"/>
          <w:szCs w:val="24"/>
        </w:rPr>
        <w:t>Terms and terms of Schedules</w:t>
      </w:r>
    </w:p>
    <w:p w14:paraId="10D1991F" w14:textId="5C8B5A04"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sidRPr="00400489">
        <w:rPr>
          <w:rFonts w:ascii="Arial" w:eastAsia="Arial" w:hAnsi="Arial" w:cs="Arial"/>
          <w:color w:val="000000"/>
          <w:sz w:val="24"/>
          <w:szCs w:val="24"/>
        </w:rPr>
        <w:t xml:space="preserve">When the Parties have </w:t>
      </w:r>
      <w:proofErr w:type="gramStart"/>
      <w:r w:rsidRPr="00400489">
        <w:rPr>
          <w:rFonts w:ascii="Arial" w:eastAsia="Arial" w:hAnsi="Arial" w:cs="Arial"/>
          <w:color w:val="000000"/>
          <w:sz w:val="24"/>
          <w:szCs w:val="24"/>
        </w:rPr>
        <w:t>entered into</w:t>
      </w:r>
      <w:proofErr w:type="gramEnd"/>
      <w:r w:rsidRPr="00400489">
        <w:rPr>
          <w:rFonts w:ascii="Arial" w:eastAsia="Arial" w:hAnsi="Arial" w:cs="Arial"/>
          <w:color w:val="000000"/>
          <w:sz w:val="24"/>
          <w:szCs w:val="24"/>
        </w:rPr>
        <w:t xml:space="preserve"> a Call-Off Contract which incorporates the terms of this Call-Off Schedule 23, the following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are modified in respect of that Call-Off Contract (but are not modified in respect of the Framework Contract):</w:t>
      </w:r>
    </w:p>
    <w:p w14:paraId="20A9D3B1" w14:textId="5E884052"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t>C</w:t>
      </w:r>
      <w:r w:rsidR="00624A99">
        <w:rPr>
          <w:rFonts w:ascii="Arial" w:eastAsia="Arial" w:hAnsi="Arial" w:cs="Arial"/>
          <w:color w:val="000000"/>
          <w:sz w:val="24"/>
          <w:szCs w:val="24"/>
        </w:rPr>
        <w:t>lauses 34.1, 34.2, 34.3 and 34.6</w:t>
      </w:r>
      <w:r w:rsidR="00CC0B86">
        <w:rPr>
          <w:rFonts w:ascii="Arial" w:eastAsia="Arial" w:hAnsi="Arial" w:cs="Arial"/>
          <w:color w:val="000000"/>
          <w:sz w:val="24"/>
          <w:szCs w:val="24"/>
        </w:rPr>
        <w:t>.4</w:t>
      </w:r>
      <w:r w:rsidRPr="00400489">
        <w:rPr>
          <w:rFonts w:ascii="Arial" w:eastAsia="Arial" w:hAnsi="Arial" w:cs="Arial"/>
          <w:color w:val="000000"/>
          <w:sz w:val="24"/>
          <w:szCs w:val="24"/>
        </w:rPr>
        <w:t xml:space="preserve">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do not apply to that Call-Off Contract, but for the avoidance of dou</w:t>
      </w:r>
      <w:r w:rsidR="00624A99">
        <w:rPr>
          <w:rFonts w:ascii="Arial" w:eastAsia="Arial" w:hAnsi="Arial" w:cs="Arial"/>
          <w:color w:val="000000"/>
          <w:sz w:val="24"/>
          <w:szCs w:val="24"/>
        </w:rPr>
        <w:t>bt, the remainder of Clause 34.6</w:t>
      </w:r>
      <w:r w:rsidRPr="00400489">
        <w:rPr>
          <w:rFonts w:ascii="Arial" w:eastAsia="Arial" w:hAnsi="Arial" w:cs="Arial"/>
          <w:color w:val="000000"/>
          <w:sz w:val="24"/>
          <w:szCs w:val="24"/>
        </w:rPr>
        <w:t xml:space="preserve">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shall continue to apply to the Call-Off Contract; and</w:t>
      </w:r>
    </w:p>
    <w:p w14:paraId="2E2AF010" w14:textId="5327BDFA" w:rsidR="006B0EB1" w:rsidRPr="00400489" w:rsidRDefault="00CC0B86" w:rsidP="00624A99">
      <w:pPr>
        <w:pStyle w:val="Heading2"/>
        <w:keepNext w:val="0"/>
        <w:keepLines w:val="0"/>
        <w:numPr>
          <w:ilvl w:val="2"/>
          <w:numId w:val="1"/>
        </w:numPr>
        <w:spacing w:before="120" w:after="120" w:line="240" w:lineRule="auto"/>
        <w:ind w:left="1985" w:hanging="851"/>
        <w:rPr>
          <w:rFonts w:ascii="Arial" w:hAnsi="Arial" w:cs="Arial"/>
          <w:sz w:val="24"/>
          <w:szCs w:val="24"/>
        </w:rPr>
      </w:pPr>
      <w:r>
        <w:rPr>
          <w:rFonts w:ascii="Arial" w:eastAsia="Arial" w:hAnsi="Arial" w:cs="Arial"/>
          <w:color w:val="000000"/>
          <w:sz w:val="24"/>
          <w:szCs w:val="24"/>
        </w:rPr>
        <w:t>Clause 9.3</w:t>
      </w:r>
      <w:r w:rsidR="00CA7CC2" w:rsidRPr="00400489">
        <w:rPr>
          <w:rFonts w:ascii="Arial" w:eastAsia="Arial" w:hAnsi="Arial" w:cs="Arial"/>
          <w:color w:val="000000"/>
          <w:sz w:val="24"/>
          <w:szCs w:val="24"/>
        </w:rPr>
        <w:t xml:space="preserve">.2 of the </w:t>
      </w:r>
      <w:r w:rsidR="008D118E" w:rsidRPr="00400489">
        <w:rPr>
          <w:rFonts w:ascii="Arial" w:eastAsia="Arial" w:hAnsi="Arial" w:cs="Arial"/>
          <w:color w:val="000000"/>
          <w:sz w:val="24"/>
          <w:szCs w:val="24"/>
        </w:rPr>
        <w:t xml:space="preserve">General </w:t>
      </w:r>
      <w:r w:rsidR="00CA7CC2" w:rsidRPr="00400489">
        <w:rPr>
          <w:rFonts w:ascii="Arial" w:eastAsia="Arial" w:hAnsi="Arial" w:cs="Arial"/>
          <w:color w:val="000000"/>
          <w:sz w:val="24"/>
          <w:szCs w:val="24"/>
        </w:rPr>
        <w:t>Terms does not apply to that Call-Off Contract.</w:t>
      </w:r>
    </w:p>
    <w:p w14:paraId="757400D9" w14:textId="263640EC"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sidRPr="00400489">
        <w:rPr>
          <w:rFonts w:ascii="Arial" w:eastAsia="Arial" w:hAnsi="Arial" w:cs="Arial"/>
          <w:color w:val="000000"/>
          <w:sz w:val="24"/>
          <w:szCs w:val="24"/>
        </w:rPr>
        <w:t xml:space="preserve">When the Parties have </w:t>
      </w:r>
      <w:proofErr w:type="gramStart"/>
      <w:r w:rsidRPr="00400489">
        <w:rPr>
          <w:rFonts w:ascii="Arial" w:eastAsia="Arial" w:hAnsi="Arial" w:cs="Arial"/>
          <w:color w:val="000000"/>
          <w:sz w:val="24"/>
          <w:szCs w:val="24"/>
        </w:rPr>
        <w:t>entered into</w:t>
      </w:r>
      <w:proofErr w:type="gramEnd"/>
      <w:r w:rsidRPr="00400489">
        <w:rPr>
          <w:rFonts w:ascii="Arial" w:eastAsia="Arial" w:hAnsi="Arial" w:cs="Arial"/>
          <w:color w:val="000000"/>
          <w:sz w:val="24"/>
          <w:szCs w:val="24"/>
        </w:rPr>
        <w:t xml:space="preserve"> a Call-Off Contract which incorporates the terms of this Call-Off Schedule 23, the following Joint Schedules are modified in respect of that Call-Off Contract (but are not disapplied in respect of the Framework Contract):</w:t>
      </w:r>
    </w:p>
    <w:p w14:paraId="60191CCE" w14:textId="6CBA5D68" w:rsidR="006B0EB1" w:rsidRPr="00400489" w:rsidRDefault="00624A99"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Paragraph 3.4</w:t>
      </w:r>
      <w:r w:rsidR="00CC0B86">
        <w:rPr>
          <w:rFonts w:ascii="Arial" w:eastAsia="Arial" w:hAnsi="Arial" w:cs="Arial"/>
          <w:color w:val="000000"/>
          <w:sz w:val="24"/>
          <w:szCs w:val="24"/>
        </w:rPr>
        <w:t>.4</w:t>
      </w:r>
      <w:r>
        <w:rPr>
          <w:rFonts w:ascii="Arial" w:eastAsia="Arial" w:hAnsi="Arial" w:cs="Arial"/>
          <w:color w:val="000000"/>
          <w:sz w:val="24"/>
          <w:szCs w:val="24"/>
        </w:rPr>
        <w:t xml:space="preserve"> of Joint Schedule 10</w:t>
      </w:r>
      <w:r w:rsidR="00CA7CC2" w:rsidRPr="00400489">
        <w:rPr>
          <w:rFonts w:ascii="Arial" w:eastAsia="Arial" w:hAnsi="Arial" w:cs="Arial"/>
          <w:color w:val="000000"/>
          <w:sz w:val="24"/>
          <w:szCs w:val="24"/>
        </w:rPr>
        <w:t xml:space="preserve"> </w:t>
      </w:r>
      <w:r w:rsidR="00CA7CC2" w:rsidRPr="00CC0B86">
        <w:rPr>
          <w:rFonts w:ascii="Arial" w:eastAsia="Arial" w:hAnsi="Arial" w:cs="Arial"/>
          <w:i/>
          <w:color w:val="000000"/>
          <w:sz w:val="24"/>
          <w:szCs w:val="24"/>
        </w:rPr>
        <w:t>(Processing Data)</w:t>
      </w:r>
      <w:r w:rsidR="00CA7CC2" w:rsidRPr="00400489">
        <w:rPr>
          <w:rFonts w:ascii="Arial" w:eastAsia="Arial" w:hAnsi="Arial" w:cs="Arial"/>
          <w:color w:val="000000"/>
          <w:sz w:val="24"/>
          <w:szCs w:val="24"/>
        </w:rPr>
        <w:t xml:space="preserve"> does not apply to that Call-Off Contract.</w:t>
      </w:r>
    </w:p>
    <w:p w14:paraId="3E72E294"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sz w:val="24"/>
          <w:szCs w:val="24"/>
        </w:rPr>
      </w:pPr>
      <w:r w:rsidRPr="00400489">
        <w:rPr>
          <w:rFonts w:ascii="Arial" w:eastAsia="Arial" w:hAnsi="Arial" w:cs="Arial"/>
          <w:b/>
          <w:color w:val="000000"/>
          <w:sz w:val="24"/>
          <w:szCs w:val="24"/>
        </w:rPr>
        <w:t>Charges, Payment and Recovery of Sums Due</w:t>
      </w:r>
      <w:r w:rsidRPr="00400489">
        <w:rPr>
          <w:rFonts w:ascii="Arial" w:eastAsia="Arial" w:hAnsi="Arial" w:cs="Arial"/>
          <w:color w:val="000000"/>
          <w:sz w:val="24"/>
          <w:szCs w:val="24"/>
        </w:rPr>
        <w:t> </w:t>
      </w:r>
    </w:p>
    <w:p w14:paraId="1F3D3CC5" w14:textId="22F298FE"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1" w:name="_heading=h.1fob9te" w:colFirst="0" w:colLast="0"/>
      <w:bookmarkEnd w:id="1"/>
      <w:r w:rsidRPr="00400489">
        <w:rPr>
          <w:rFonts w:ascii="Arial" w:eastAsia="Arial" w:hAnsi="Arial" w:cs="Arial"/>
          <w:color w:val="000000"/>
          <w:sz w:val="24"/>
          <w:szCs w:val="24"/>
        </w:rPr>
        <w:t xml:space="preserve">The Supplier shall invoice the Buyer as specified in Clause 4 </w:t>
      </w:r>
      <w:r w:rsidR="00F4191E" w:rsidRPr="00F4191E">
        <w:rPr>
          <w:rFonts w:ascii="Arial" w:eastAsia="Arial" w:hAnsi="Arial" w:cs="Arial"/>
          <w:i/>
          <w:color w:val="000000"/>
          <w:sz w:val="24"/>
          <w:szCs w:val="24"/>
        </w:rPr>
        <w:t>(Pricing and payments)</w:t>
      </w:r>
      <w:r w:rsidR="00F4191E">
        <w:rPr>
          <w:rFonts w:ascii="Arial" w:eastAsia="Arial" w:hAnsi="Arial" w:cs="Arial"/>
          <w:color w:val="000000"/>
          <w:sz w:val="24"/>
          <w:szCs w:val="24"/>
        </w:rPr>
        <w:t xml:space="preserve"> </w:t>
      </w:r>
      <w:r w:rsidRPr="00400489">
        <w:rPr>
          <w:rFonts w:ascii="Arial" w:eastAsia="Arial" w:hAnsi="Arial" w:cs="Arial"/>
          <w:color w:val="000000"/>
          <w:sz w:val="24"/>
          <w:szCs w:val="24"/>
        </w:rPr>
        <w:t xml:space="preserve">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as modified by any Framework Special Terms or any Call-Off Special Terms. </w:t>
      </w:r>
    </w:p>
    <w:p w14:paraId="0B51154E" w14:textId="62EC5DF9"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sidRPr="00400489">
        <w:rPr>
          <w:rFonts w:ascii="Arial" w:eastAsia="Arial" w:hAnsi="Arial" w:cs="Arial"/>
          <w:color w:val="000000"/>
          <w:sz w:val="24"/>
          <w:szCs w:val="24"/>
        </w:rPr>
        <w:t xml:space="preserve">In addition to the provisions of Clause 4 </w:t>
      </w:r>
      <w:r w:rsidR="00F4191E" w:rsidRPr="00F4191E">
        <w:rPr>
          <w:rFonts w:ascii="Arial" w:eastAsia="Arial" w:hAnsi="Arial" w:cs="Arial"/>
          <w:i/>
          <w:color w:val="000000"/>
          <w:sz w:val="24"/>
          <w:szCs w:val="24"/>
        </w:rPr>
        <w:t>(Pricing and payments)</w:t>
      </w:r>
      <w:r w:rsidR="00F4191E">
        <w:rPr>
          <w:rFonts w:ascii="Arial" w:eastAsia="Arial" w:hAnsi="Arial" w:cs="Arial"/>
          <w:color w:val="000000"/>
          <w:sz w:val="24"/>
          <w:szCs w:val="24"/>
        </w:rPr>
        <w:t xml:space="preserve"> </w:t>
      </w:r>
      <w:r w:rsidRPr="00400489">
        <w:rPr>
          <w:rFonts w:ascii="Arial" w:eastAsia="Arial" w:hAnsi="Arial" w:cs="Arial"/>
          <w:color w:val="000000"/>
          <w:sz w:val="24"/>
          <w:szCs w:val="24"/>
        </w:rPr>
        <w:t xml:space="preserve">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and any applicable Framework Special Term or Call-Off Special Term, the Supplier shall procure a Purchase Order Number from </w:t>
      </w:r>
      <w:r w:rsidRPr="00400489">
        <w:rPr>
          <w:rFonts w:ascii="Arial" w:eastAsia="Arial" w:hAnsi="Arial" w:cs="Arial"/>
          <w:color w:val="000000"/>
          <w:sz w:val="24"/>
          <w:szCs w:val="24"/>
        </w:rPr>
        <w:lastRenderedPageBreak/>
        <w:t xml:space="preserve">the Buyer before any Deliverables are supplied. Should the Supplier supply Deliverables without a Purchase Order Number: </w:t>
      </w:r>
    </w:p>
    <w:p w14:paraId="40AB0C9B"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t>the Supplier does so at its own risk; and</w:t>
      </w:r>
    </w:p>
    <w:p w14:paraId="7D0F63C8"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t>the Buyer shall not be obliged to pay any invoice without a valid Purchase Order Number having been provided to the Supplier.</w:t>
      </w:r>
    </w:p>
    <w:p w14:paraId="5273E8D1" w14:textId="66841EDD"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The Supplier shall submit each </w:t>
      </w:r>
      <w:proofErr w:type="gramStart"/>
      <w:r w:rsidRPr="00400489">
        <w:rPr>
          <w:rFonts w:ascii="Arial" w:eastAsia="Arial" w:hAnsi="Arial" w:cs="Arial"/>
          <w:color w:val="000000"/>
          <w:sz w:val="24"/>
          <w:szCs w:val="24"/>
        </w:rPr>
        <w:t>invoice</w:t>
      </w:r>
      <w:proofErr w:type="gramEnd"/>
      <w:r w:rsidRPr="00400489">
        <w:rPr>
          <w:rFonts w:ascii="Arial" w:eastAsia="Arial" w:hAnsi="Arial" w:cs="Arial"/>
          <w:color w:val="000000"/>
          <w:sz w:val="24"/>
          <w:szCs w:val="24"/>
        </w:rPr>
        <w:t xml:space="preserve"> and any Supporting Documentation required in accordance with Clause 4 </w:t>
      </w:r>
      <w:r w:rsidR="00F4191E" w:rsidRPr="00F4191E">
        <w:rPr>
          <w:rFonts w:ascii="Arial" w:eastAsia="Arial" w:hAnsi="Arial" w:cs="Arial"/>
          <w:i/>
          <w:color w:val="000000"/>
          <w:sz w:val="24"/>
          <w:szCs w:val="24"/>
        </w:rPr>
        <w:t>(Pricing and payments)</w:t>
      </w:r>
      <w:r w:rsidR="00F4191E">
        <w:rPr>
          <w:rFonts w:ascii="Arial" w:eastAsia="Arial" w:hAnsi="Arial" w:cs="Arial"/>
          <w:color w:val="000000"/>
          <w:sz w:val="24"/>
          <w:szCs w:val="24"/>
        </w:rPr>
        <w:t xml:space="preserve"> </w:t>
      </w:r>
      <w:r w:rsidRPr="00400489">
        <w:rPr>
          <w:rFonts w:ascii="Arial" w:eastAsia="Arial" w:hAnsi="Arial" w:cs="Arial"/>
          <w:color w:val="000000"/>
          <w:sz w:val="24"/>
          <w:szCs w:val="24"/>
        </w:rPr>
        <w:t xml:space="preserve">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and any applicable Framework Special Term or Call-Off Special Term, as directed by the Buyer from time to time, either: </w:t>
      </w:r>
    </w:p>
    <w:p w14:paraId="43B768D3"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r w:rsidRPr="00400489">
        <w:rPr>
          <w:rFonts w:ascii="Arial" w:eastAsia="Arial" w:hAnsi="Arial" w:cs="Arial"/>
          <w:color w:val="000000"/>
          <w:sz w:val="24"/>
          <w:szCs w:val="24"/>
        </w:rPr>
        <w:t>via the Buyer ’s electronic transaction system as an Electronic Invoice; or </w:t>
      </w:r>
    </w:p>
    <w:p w14:paraId="6E3D4AC1"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r w:rsidRPr="00400489">
        <w:rPr>
          <w:rFonts w:ascii="Arial" w:eastAsia="Arial" w:hAnsi="Arial" w:cs="Arial"/>
          <w:color w:val="000000"/>
          <w:sz w:val="24"/>
          <w:szCs w:val="24"/>
        </w:rPr>
        <w:t>to the [</w:t>
      </w:r>
      <w:r w:rsidRPr="00400489">
        <w:rPr>
          <w:rFonts w:ascii="Arial" w:eastAsia="Arial" w:hAnsi="Arial" w:cs="Arial"/>
          <w:color w:val="000000"/>
          <w:sz w:val="24"/>
          <w:szCs w:val="24"/>
          <w:highlight w:val="yellow"/>
        </w:rPr>
        <w:t>specify who the contact in HMRC is]</w:t>
      </w:r>
      <w:r w:rsidRPr="00400489">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14:paraId="4069C1BA"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sidRPr="00400489">
        <w:rPr>
          <w:rFonts w:ascii="Arial" w:eastAsia="Arial" w:hAnsi="Arial" w:cs="Arial"/>
          <w:b/>
          <w:color w:val="000000"/>
          <w:sz w:val="24"/>
          <w:szCs w:val="24"/>
        </w:rPr>
        <w:t>Warranties</w:t>
      </w:r>
    </w:p>
    <w:p w14:paraId="3439E0E6"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The Supplier represents and warrants that:</w:t>
      </w:r>
    </w:p>
    <w:p w14:paraId="2B75B9B6"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2" w:name="_heading=h.3znysh7" w:colFirst="0" w:colLast="0"/>
      <w:bookmarkEnd w:id="2"/>
      <w:r w:rsidRPr="00400489">
        <w:rPr>
          <w:rFonts w:ascii="Arial" w:eastAsia="Arial" w:hAnsi="Arial" w:cs="Arial"/>
          <w:color w:val="000000"/>
          <w:sz w:val="24"/>
          <w:szCs w:val="24"/>
        </w:rPr>
        <w:t xml:space="preserve">in the three years prior to the Effective Date, it has complied with all applicable Law related to Tax in the United Kingdom and in the jurisdiction in which it is </w:t>
      </w:r>
      <w:proofErr w:type="gramStart"/>
      <w:r w:rsidRPr="00400489">
        <w:rPr>
          <w:rFonts w:ascii="Arial" w:eastAsia="Arial" w:hAnsi="Arial" w:cs="Arial"/>
          <w:color w:val="000000"/>
          <w:sz w:val="24"/>
          <w:szCs w:val="24"/>
        </w:rPr>
        <w:t>established;</w:t>
      </w:r>
      <w:proofErr w:type="gramEnd"/>
    </w:p>
    <w:p w14:paraId="5E625302"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3" w:name="_heading=h.2et92p0" w:colFirst="0" w:colLast="0"/>
      <w:bookmarkEnd w:id="3"/>
      <w:r w:rsidRPr="00400489">
        <w:rPr>
          <w:rFonts w:ascii="Arial" w:eastAsia="Arial" w:hAnsi="Arial" w:cs="Arial"/>
          <w:color w:val="000000"/>
          <w:sz w:val="24"/>
          <w:szCs w:val="24"/>
        </w:rPr>
        <w:t>it has notified the Buyer in writing of any Tax Compliance Failure it is involved in; and</w:t>
      </w:r>
    </w:p>
    <w:p w14:paraId="7D175009"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bookmarkStart w:id="4" w:name="_heading=h.tyjcwt" w:colFirst="0" w:colLast="0"/>
      <w:bookmarkEnd w:id="4"/>
      <w:r w:rsidRPr="00400489">
        <w:rPr>
          <w:rFonts w:ascii="Arial" w:eastAsia="Arial" w:hAnsi="Arial" w:cs="Arial"/>
          <w:color w:val="000000"/>
          <w:sz w:val="24"/>
          <w:szCs w:val="24"/>
        </w:rPr>
        <w:t>no proceedings or other steps have been taken (nor, to the best of the Supplier’s knowledge, are threatened) for:</w:t>
      </w:r>
    </w:p>
    <w:p w14:paraId="02666115" w14:textId="234FD76B" w:rsidR="006B0EB1" w:rsidRPr="00400489" w:rsidRDefault="00CA7CC2" w:rsidP="00624A99">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sidRPr="00400489">
        <w:rPr>
          <w:rFonts w:ascii="Arial" w:eastAsia="Arial" w:hAnsi="Arial" w:cs="Arial"/>
          <w:color w:val="000000"/>
          <w:sz w:val="24"/>
          <w:szCs w:val="24"/>
        </w:rPr>
        <w:t xml:space="preserve">the winding up of the </w:t>
      </w:r>
      <w:proofErr w:type="gramStart"/>
      <w:r w:rsidRPr="00400489">
        <w:rPr>
          <w:rFonts w:ascii="Arial" w:eastAsia="Arial" w:hAnsi="Arial" w:cs="Arial"/>
          <w:color w:val="000000"/>
          <w:sz w:val="24"/>
          <w:szCs w:val="24"/>
        </w:rPr>
        <w:t>Supplier;</w:t>
      </w:r>
      <w:proofErr w:type="gramEnd"/>
      <w:r w:rsidRPr="00400489">
        <w:rPr>
          <w:rFonts w:ascii="Arial" w:eastAsia="Arial" w:hAnsi="Arial" w:cs="Arial"/>
          <w:color w:val="000000"/>
          <w:sz w:val="24"/>
          <w:szCs w:val="24"/>
        </w:rPr>
        <w:t xml:space="preserve"> </w:t>
      </w:r>
    </w:p>
    <w:p w14:paraId="2CA72731" w14:textId="77777777" w:rsidR="006B0EB1" w:rsidRPr="00400489" w:rsidRDefault="00CA7CC2" w:rsidP="00624A99">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sidRPr="00400489">
        <w:rPr>
          <w:rFonts w:ascii="Arial" w:eastAsia="Arial" w:hAnsi="Arial" w:cs="Arial"/>
          <w:color w:val="000000"/>
          <w:sz w:val="24"/>
          <w:szCs w:val="24"/>
        </w:rPr>
        <w:t>the Supplier’s dissolution; or</w:t>
      </w:r>
    </w:p>
    <w:p w14:paraId="23973E00" w14:textId="77777777" w:rsidR="006B0EB1" w:rsidRPr="00400489" w:rsidRDefault="00CA7CC2" w:rsidP="00624A99">
      <w:pPr>
        <w:pStyle w:val="Heading2"/>
        <w:keepNext w:val="0"/>
        <w:keepLines w:val="0"/>
        <w:numPr>
          <w:ilvl w:val="3"/>
          <w:numId w:val="1"/>
        </w:numPr>
        <w:spacing w:before="120" w:after="120" w:line="240" w:lineRule="auto"/>
        <w:ind w:left="2835" w:hanging="850"/>
        <w:rPr>
          <w:rFonts w:ascii="Arial" w:eastAsia="Arial" w:hAnsi="Arial" w:cs="Arial"/>
          <w:sz w:val="24"/>
          <w:szCs w:val="24"/>
        </w:rPr>
      </w:pPr>
      <w:r w:rsidRPr="00400489">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14:paraId="7C323D25" w14:textId="77777777" w:rsidR="006B0EB1" w:rsidRPr="00400489" w:rsidRDefault="00CA7CC2" w:rsidP="00624A99">
      <w:pPr>
        <w:pStyle w:val="Heading2"/>
        <w:keepNext w:val="0"/>
        <w:keepLines w:val="0"/>
        <w:spacing w:before="120" w:after="120" w:line="240" w:lineRule="auto"/>
        <w:ind w:left="1985"/>
        <w:rPr>
          <w:rFonts w:ascii="Arial" w:eastAsia="Arial" w:hAnsi="Arial" w:cs="Arial"/>
          <w:color w:val="000000"/>
          <w:sz w:val="24"/>
          <w:szCs w:val="24"/>
        </w:rPr>
      </w:pPr>
      <w:r w:rsidRPr="00400489">
        <w:rPr>
          <w:rFonts w:ascii="Arial" w:eastAsia="Arial" w:hAnsi="Arial" w:cs="Arial"/>
          <w:color w:val="000000"/>
          <w:sz w:val="24"/>
          <w:szCs w:val="24"/>
        </w:rPr>
        <w:t>and the Supplier has notified the Buyer of any profit warnings it has issued in the three years prior to the Effective Date.</w:t>
      </w:r>
    </w:p>
    <w:p w14:paraId="2E60A8A8"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p>
    <w:p w14:paraId="4D330461" w14:textId="209974FE"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proofErr w:type="gramStart"/>
      <w:r w:rsidRPr="00400489">
        <w:rPr>
          <w:rFonts w:ascii="Arial" w:eastAsia="Arial" w:hAnsi="Arial" w:cs="Arial"/>
          <w:color w:val="000000"/>
          <w:sz w:val="24"/>
          <w:szCs w:val="24"/>
        </w:rPr>
        <w:t>In the event that</w:t>
      </w:r>
      <w:proofErr w:type="gramEnd"/>
      <w:r w:rsidRPr="00400489">
        <w:rPr>
          <w:rFonts w:ascii="Arial" w:eastAsia="Arial" w:hAnsi="Arial" w:cs="Arial"/>
          <w:color w:val="000000"/>
          <w:sz w:val="24"/>
          <w:szCs w:val="24"/>
        </w:rPr>
        <w:t xml:space="preserve"> the warranty given by the Supplier in Paragraph 4.1.2 is materially untrue, this shall be deemed to be an event to which Clause 13.3.1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applies and Clause 13.4.1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shall apply as if the Contract had been terminated under Clause 13.3.1.</w:t>
      </w:r>
    </w:p>
    <w:p w14:paraId="393BE4CA"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sidRPr="00400489">
        <w:rPr>
          <w:rFonts w:ascii="Arial" w:eastAsia="Arial" w:hAnsi="Arial" w:cs="Arial"/>
          <w:b/>
          <w:color w:val="000000"/>
          <w:sz w:val="24"/>
          <w:szCs w:val="24"/>
        </w:rPr>
        <w:lastRenderedPageBreak/>
        <w:t>Promoting Tax Compliance</w:t>
      </w:r>
    </w:p>
    <w:p w14:paraId="49C4F445" w14:textId="77777777" w:rsidR="006B0EB1" w:rsidRPr="00400489" w:rsidRDefault="00CA7CC2" w:rsidP="00624A99">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5" w:name="_heading=h.3dy6vkm" w:colFirst="0" w:colLast="0"/>
      <w:bookmarkEnd w:id="5"/>
      <w:r w:rsidRPr="00400489">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14:paraId="23DBE192" w14:textId="77777777" w:rsidR="006B0EB1" w:rsidRPr="00400489" w:rsidRDefault="00CA7CC2" w:rsidP="00624A99">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6" w:name="_heading=h.1t3h5sf" w:colFirst="0" w:colLast="0"/>
      <w:bookmarkEnd w:id="6"/>
      <w:r w:rsidRPr="00400489">
        <w:rPr>
          <w:rFonts w:ascii="Arial" w:eastAsia="Arial" w:hAnsi="Arial" w:cs="Arial"/>
          <w:color w:val="000000"/>
          <w:sz w:val="24"/>
          <w:szCs w:val="24"/>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p>
    <w:p w14:paraId="45696419" w14:textId="77777777" w:rsidR="006B0EB1" w:rsidRPr="00400489" w:rsidRDefault="00CA7CC2" w:rsidP="00624A99">
      <w:pPr>
        <w:pStyle w:val="Heading2"/>
        <w:keepNext w:val="0"/>
        <w:keepLines w:val="0"/>
        <w:numPr>
          <w:ilvl w:val="1"/>
          <w:numId w:val="1"/>
        </w:numPr>
        <w:spacing w:before="120" w:after="120" w:line="240" w:lineRule="auto"/>
        <w:ind w:left="993" w:hanging="567"/>
        <w:rPr>
          <w:rFonts w:ascii="Arial" w:eastAsia="Arial" w:hAnsi="Arial" w:cs="Arial"/>
          <w:color w:val="000000"/>
          <w:sz w:val="24"/>
          <w:szCs w:val="24"/>
        </w:rPr>
      </w:pPr>
      <w:bookmarkStart w:id="7" w:name="_heading=h.4d34og8" w:colFirst="0" w:colLast="0"/>
      <w:bookmarkEnd w:id="7"/>
      <w:r w:rsidRPr="00400489">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14:paraId="7731E68D" w14:textId="77777777" w:rsidR="006B0EB1" w:rsidRPr="00400489" w:rsidRDefault="00CA7CC2" w:rsidP="00624A99">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8" w:name="_heading=h.2s8eyo1" w:colFirst="0" w:colLast="0"/>
      <w:bookmarkEnd w:id="8"/>
      <w:r w:rsidRPr="00400489">
        <w:rPr>
          <w:rFonts w:ascii="Arial" w:eastAsia="Arial" w:hAnsi="Arial" w:cs="Arial"/>
          <w:color w:val="000000"/>
          <w:sz w:val="24"/>
          <w:szCs w:val="24"/>
        </w:rPr>
        <w:t>If, at any point during the Call-Off Contract Period, there is a Tax Compliance Failure, the Supplier shall:</w:t>
      </w:r>
    </w:p>
    <w:p w14:paraId="50669666"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9" w:name="_heading=h.17dp8vu" w:colFirst="0" w:colLast="0"/>
      <w:bookmarkEnd w:id="9"/>
      <w:r w:rsidRPr="00400489">
        <w:rPr>
          <w:rFonts w:ascii="Arial" w:eastAsia="Arial" w:hAnsi="Arial" w:cs="Arial"/>
          <w:color w:val="000000"/>
          <w:sz w:val="24"/>
          <w:szCs w:val="24"/>
        </w:rPr>
        <w:t>notify the Buyer in writing within five (5) Working Days of its occurrence; and</w:t>
      </w:r>
    </w:p>
    <w:p w14:paraId="0AA4A58B"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10" w:name="_heading=h.3rdcrjn" w:colFirst="0" w:colLast="0"/>
      <w:bookmarkEnd w:id="10"/>
      <w:r w:rsidRPr="00400489">
        <w:rPr>
          <w:rFonts w:ascii="Arial" w:eastAsia="Arial" w:hAnsi="Arial" w:cs="Arial"/>
          <w:color w:val="000000"/>
          <w:sz w:val="24"/>
          <w:szCs w:val="24"/>
        </w:rPr>
        <w:t>promptly provide to the Buyer:</w:t>
      </w:r>
    </w:p>
    <w:p w14:paraId="696F7AD8" w14:textId="77777777" w:rsidR="006B0EB1" w:rsidRPr="00400489" w:rsidRDefault="00CA7CC2" w:rsidP="00624A99">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sidRPr="00400489">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14:paraId="74C896E5" w14:textId="77777777" w:rsidR="006B0EB1" w:rsidRPr="00400489" w:rsidRDefault="00CA7CC2" w:rsidP="00624A99">
      <w:pPr>
        <w:pStyle w:val="Heading2"/>
        <w:keepNext w:val="0"/>
        <w:keepLines w:val="0"/>
        <w:numPr>
          <w:ilvl w:val="3"/>
          <w:numId w:val="1"/>
        </w:numPr>
        <w:spacing w:before="120" w:after="120" w:line="240" w:lineRule="auto"/>
        <w:ind w:left="2835" w:hanging="850"/>
        <w:rPr>
          <w:rFonts w:ascii="Arial" w:eastAsia="Arial" w:hAnsi="Arial" w:cs="Arial"/>
          <w:sz w:val="24"/>
          <w:szCs w:val="24"/>
        </w:rPr>
      </w:pPr>
      <w:r w:rsidRPr="00400489">
        <w:rPr>
          <w:rFonts w:ascii="Arial" w:eastAsia="Arial" w:hAnsi="Arial" w:cs="Arial"/>
          <w:color w:val="000000"/>
          <w:sz w:val="24"/>
          <w:szCs w:val="24"/>
        </w:rPr>
        <w:t>such other information in relation to the Tax Compliance Failure as the Buyer may reasonably require.</w:t>
      </w:r>
    </w:p>
    <w:p w14:paraId="4E51B4A5"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11" w:name="_heading=h.26in1rg" w:colFirst="0" w:colLast="0"/>
      <w:bookmarkEnd w:id="11"/>
      <w:r w:rsidRPr="00400489">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14:paraId="2F8BF5AF" w14:textId="10716AD5"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Any amounts due under Paragraph 5.5 shall be paid not less than five (5) Working Days before the date upon which the Tax or other liab</w:t>
      </w:r>
      <w:r w:rsidR="00F4191E">
        <w:rPr>
          <w:rFonts w:ascii="Arial" w:eastAsia="Arial" w:hAnsi="Arial" w:cs="Arial"/>
          <w:color w:val="000000"/>
          <w:sz w:val="24"/>
          <w:szCs w:val="24"/>
        </w:rPr>
        <w:t xml:space="preserve">ility is payable by the Buyer. </w:t>
      </w:r>
      <w:r w:rsidRPr="00400489">
        <w:rPr>
          <w:rFonts w:ascii="Arial" w:eastAsia="Arial" w:hAnsi="Arial" w:cs="Arial"/>
          <w:color w:val="000000"/>
          <w:sz w:val="24"/>
          <w:szCs w:val="24"/>
        </w:rPr>
        <w:t xml:space="preserve">Any amounts due under Paragraph 5.5 shall not be subject to Clause 14.2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w:t>
      </w:r>
    </w:p>
    <w:p w14:paraId="275D08F3"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2" w:name="_heading=h.lnxbz9" w:colFirst="0" w:colLast="0"/>
      <w:bookmarkEnd w:id="12"/>
      <w:r w:rsidRPr="00400489">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14:paraId="372D2BF8"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sidRPr="00400489">
        <w:rPr>
          <w:rFonts w:ascii="Arial" w:eastAsia="Arial" w:hAnsi="Arial" w:cs="Arial"/>
          <w:color w:val="000000"/>
          <w:sz w:val="24"/>
          <w:szCs w:val="24"/>
        </w:rPr>
        <w:t xml:space="preserve">If the Supplier: </w:t>
      </w:r>
    </w:p>
    <w:p w14:paraId="5AFC8CD4"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t xml:space="preserve">fails to comply with Paragraphs 5.1, 5.4.1 and/or 5.7 this may be a material breach of the </w:t>
      </w:r>
      <w:proofErr w:type="gramStart"/>
      <w:r w:rsidRPr="00400489">
        <w:rPr>
          <w:rFonts w:ascii="Arial" w:eastAsia="Arial" w:hAnsi="Arial" w:cs="Arial"/>
          <w:color w:val="000000"/>
          <w:sz w:val="24"/>
          <w:szCs w:val="24"/>
        </w:rPr>
        <w:t>Contract;</w:t>
      </w:r>
      <w:proofErr w:type="gramEnd"/>
      <w:r w:rsidRPr="00400489">
        <w:rPr>
          <w:rFonts w:ascii="Arial" w:eastAsia="Arial" w:hAnsi="Arial" w:cs="Arial"/>
          <w:color w:val="000000"/>
          <w:sz w:val="24"/>
          <w:szCs w:val="24"/>
        </w:rPr>
        <w:t xml:space="preserve"> </w:t>
      </w:r>
    </w:p>
    <w:p w14:paraId="25B382A6"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w:t>
      </w:r>
      <w:proofErr w:type="gramStart"/>
      <w:r w:rsidRPr="00400489">
        <w:rPr>
          <w:rFonts w:ascii="Arial" w:eastAsia="Arial" w:hAnsi="Arial" w:cs="Arial"/>
          <w:color w:val="000000"/>
          <w:sz w:val="24"/>
          <w:szCs w:val="24"/>
        </w:rPr>
        <w:t>is  involved</w:t>
      </w:r>
      <w:proofErr w:type="gramEnd"/>
      <w:r w:rsidRPr="00400489">
        <w:rPr>
          <w:rFonts w:ascii="Arial" w:eastAsia="Arial" w:hAnsi="Arial" w:cs="Arial"/>
          <w:color w:val="000000"/>
          <w:sz w:val="24"/>
          <w:szCs w:val="24"/>
        </w:rPr>
        <w:t xml:space="preserve"> in a Tax Compliance Failure this shall be a material breach of the Contract; and/or</w:t>
      </w:r>
    </w:p>
    <w:p w14:paraId="72A7E7C7" w14:textId="77777777"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sidRPr="00400489">
        <w:rPr>
          <w:rFonts w:ascii="Arial" w:eastAsia="Arial" w:hAnsi="Arial" w:cs="Arial"/>
          <w:color w:val="000000"/>
          <w:sz w:val="24"/>
          <w:szCs w:val="24"/>
        </w:rPr>
        <w:lastRenderedPageBreak/>
        <w:t xml:space="preserve">fails to provide acceptable details of steps being taken and mitigating factors pursuant to Paragraph 5.4.2 this shall be a material breach of the </w:t>
      </w:r>
      <w:proofErr w:type="gramStart"/>
      <w:r w:rsidRPr="00400489">
        <w:rPr>
          <w:rFonts w:ascii="Arial" w:eastAsia="Arial" w:hAnsi="Arial" w:cs="Arial"/>
          <w:color w:val="000000"/>
          <w:sz w:val="24"/>
          <w:szCs w:val="24"/>
        </w:rPr>
        <w:t>Contract;</w:t>
      </w:r>
      <w:proofErr w:type="gramEnd"/>
    </w:p>
    <w:p w14:paraId="2E73B674" w14:textId="77C1C627" w:rsidR="006B0EB1" w:rsidRPr="00400489" w:rsidRDefault="00CA7CC2" w:rsidP="00624A99">
      <w:pPr>
        <w:pStyle w:val="Heading2"/>
        <w:keepNext w:val="0"/>
        <w:keepLines w:val="0"/>
        <w:spacing w:before="120" w:after="120" w:line="240" w:lineRule="auto"/>
        <w:ind w:left="1134"/>
        <w:rPr>
          <w:rFonts w:ascii="Arial" w:eastAsia="Arial" w:hAnsi="Arial" w:cs="Arial"/>
          <w:color w:val="000000"/>
          <w:sz w:val="24"/>
          <w:szCs w:val="24"/>
        </w:rPr>
      </w:pPr>
      <w:r w:rsidRPr="00400489">
        <w:rPr>
          <w:rFonts w:ascii="Arial" w:eastAsia="Arial" w:hAnsi="Arial" w:cs="Arial"/>
          <w:color w:val="000000"/>
          <w:sz w:val="24"/>
          <w:szCs w:val="24"/>
        </w:rPr>
        <w:t xml:space="preserve">and any such material breach shall be deemed to be an event to which Clause 13.3.1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applies and Clause 13.4.1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shall apply as if the Contract had been terminated under Clause 13.3.1.</w:t>
      </w:r>
    </w:p>
    <w:p w14:paraId="282B4F0B" w14:textId="079F6618"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In addition to those circumstances listed in Clause 18.2 to 18.4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the Buyer may internally share any information, including Confidential Information, which it receives under Paragraphs 5.2 to 5.4 (inclusive) and 5.7. </w:t>
      </w:r>
    </w:p>
    <w:p w14:paraId="208416BD"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3" w:name="_heading=h.35nkun2" w:colFirst="0" w:colLast="0"/>
      <w:bookmarkEnd w:id="13"/>
      <w:r w:rsidRPr="00400489">
        <w:rPr>
          <w:rFonts w:ascii="Arial" w:eastAsia="Arial" w:hAnsi="Arial" w:cs="Arial"/>
          <w:b/>
          <w:color w:val="000000"/>
          <w:sz w:val="24"/>
          <w:szCs w:val="24"/>
        </w:rPr>
        <w:t>Use of Off-shore Tax Structures</w:t>
      </w:r>
    </w:p>
    <w:p w14:paraId="06691DEA"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b/>
          <w:color w:val="000000"/>
          <w:sz w:val="24"/>
          <w:szCs w:val="24"/>
        </w:rPr>
      </w:pPr>
      <w:bookmarkStart w:id="14" w:name="_heading=h.1ksv4uv" w:colFirst="0" w:colLast="0"/>
      <w:bookmarkEnd w:id="14"/>
      <w:r w:rsidRPr="00400489">
        <w:rPr>
          <w:rFonts w:ascii="Arial" w:eastAsia="Arial" w:hAnsi="Arial" w:cs="Arial"/>
          <w:color w:val="000000"/>
          <w:sz w:val="24"/>
          <w:szCs w:val="24"/>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14:paraId="09AD57E7"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5" w:name="_heading=h.44sinio" w:colFirst="0" w:colLast="0"/>
      <w:bookmarkEnd w:id="15"/>
      <w:r w:rsidRPr="00400489">
        <w:rPr>
          <w:rFonts w:ascii="Arial" w:eastAsia="Arial" w:hAnsi="Arial" w:cs="Arial"/>
          <w:color w:val="000000"/>
          <w:sz w:val="24"/>
          <w:szCs w:val="24"/>
        </w:rPr>
        <w:t xml:space="preserve">The Supplier shall notify the Buyer in writing (with reasonable supporting detail) of any proposal for the Supplier, its Connected Companies, or a Key Subcontractor (or any of its Connected Companies), to </w:t>
      </w:r>
      <w:proofErr w:type="gramStart"/>
      <w:r w:rsidRPr="00400489">
        <w:rPr>
          <w:rFonts w:ascii="Arial" w:eastAsia="Arial" w:hAnsi="Arial" w:cs="Arial"/>
          <w:color w:val="000000"/>
          <w:sz w:val="24"/>
          <w:szCs w:val="24"/>
        </w:rPr>
        <w:t>enter into</w:t>
      </w:r>
      <w:proofErr w:type="gramEnd"/>
      <w:r w:rsidRPr="00400489">
        <w:rPr>
          <w:rFonts w:ascii="Arial" w:eastAsia="Arial" w:hAnsi="Arial" w:cs="Arial"/>
          <w:color w:val="000000"/>
          <w:sz w:val="24"/>
          <w:szCs w:val="24"/>
        </w:rPr>
        <w:t xml:space="preserve"> any Prohibited Transaction. The Supplier shall include reasonable supporting detail and make the notification within a reasonable time before the Prohibited Transaction is due to be put in place.</w:t>
      </w:r>
    </w:p>
    <w:p w14:paraId="5A11EDBE" w14:textId="1CDF5989"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6" w:name="_heading=h.2jxsxqh" w:colFirst="0" w:colLast="0"/>
      <w:bookmarkEnd w:id="16"/>
      <w:r w:rsidRPr="00400489">
        <w:rPr>
          <w:rFonts w:ascii="Arial" w:eastAsia="Arial" w:hAnsi="Arial" w:cs="Arial"/>
          <w:color w:val="000000"/>
          <w:sz w:val="24"/>
          <w:szCs w:val="24"/>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38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if necessary.</w:t>
      </w:r>
    </w:p>
    <w:p w14:paraId="7CDA6E08" w14:textId="3B030BAB"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Failure by the Supplier (or a Key Subcontractor) to comply with the obligations set out in Paragraphs 6.2 and 6.3 shall be deemed to be an event to which Clause 13.3.1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applies and Clause 13.4.1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Terms shall apply as if the Contract had been terminated under Clause 13.3.1.</w:t>
      </w:r>
    </w:p>
    <w:p w14:paraId="62BC2B34"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sidRPr="00400489">
        <w:rPr>
          <w:rFonts w:ascii="Arial" w:eastAsia="Arial" w:hAnsi="Arial" w:cs="Arial"/>
          <w:b/>
          <w:color w:val="000000"/>
          <w:sz w:val="24"/>
          <w:szCs w:val="24"/>
        </w:rPr>
        <w:t xml:space="preserve">Data Protection and </w:t>
      </w:r>
      <w:proofErr w:type="gramStart"/>
      <w:r w:rsidRPr="00400489">
        <w:rPr>
          <w:rFonts w:ascii="Arial" w:eastAsia="Arial" w:hAnsi="Arial" w:cs="Arial"/>
          <w:b/>
          <w:color w:val="000000"/>
          <w:sz w:val="24"/>
          <w:szCs w:val="24"/>
        </w:rPr>
        <w:t>off-shoring</w:t>
      </w:r>
      <w:proofErr w:type="gramEnd"/>
    </w:p>
    <w:p w14:paraId="67D2654C" w14:textId="7F34A2F9" w:rsidR="006B0EB1" w:rsidRPr="00400489" w:rsidRDefault="00CB3CE3"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7" w:name="_heading=h.z337ya" w:colFirst="0" w:colLast="0"/>
      <w:bookmarkEnd w:id="17"/>
      <w:r w:rsidRPr="00400489">
        <w:rPr>
          <w:rFonts w:ascii="Arial" w:eastAsia="Arial" w:hAnsi="Arial" w:cs="Arial"/>
          <w:color w:val="000000"/>
          <w:sz w:val="24"/>
          <w:szCs w:val="24"/>
        </w:rPr>
        <w:t xml:space="preserve">In addition to its data protection responsibilities set out in the </w:t>
      </w:r>
      <w:r w:rsidR="008D118E" w:rsidRPr="00400489">
        <w:rPr>
          <w:rFonts w:ascii="Arial" w:eastAsia="Arial" w:hAnsi="Arial" w:cs="Arial"/>
          <w:color w:val="000000"/>
          <w:sz w:val="24"/>
          <w:szCs w:val="24"/>
        </w:rPr>
        <w:t>General</w:t>
      </w:r>
      <w:r w:rsidR="00624A99">
        <w:rPr>
          <w:rFonts w:ascii="Arial" w:eastAsia="Arial" w:hAnsi="Arial" w:cs="Arial"/>
          <w:color w:val="000000"/>
          <w:sz w:val="24"/>
          <w:szCs w:val="24"/>
        </w:rPr>
        <w:t xml:space="preserve"> Terms and Joint Schedule 10</w:t>
      </w:r>
      <w:r w:rsidRPr="00400489">
        <w:rPr>
          <w:rFonts w:ascii="Arial" w:eastAsia="Arial" w:hAnsi="Arial" w:cs="Arial"/>
          <w:color w:val="000000"/>
          <w:sz w:val="24"/>
          <w:szCs w:val="24"/>
        </w:rPr>
        <w:t xml:space="preserve"> </w:t>
      </w:r>
      <w:r w:rsidRPr="00624A99">
        <w:rPr>
          <w:rFonts w:ascii="Arial" w:eastAsia="Arial" w:hAnsi="Arial" w:cs="Arial"/>
          <w:i/>
          <w:color w:val="000000"/>
          <w:sz w:val="24"/>
          <w:szCs w:val="24"/>
        </w:rPr>
        <w:t>(Processing Data</w:t>
      </w:r>
      <w:r w:rsidR="00624A99" w:rsidRPr="00624A99">
        <w:rPr>
          <w:rFonts w:ascii="Arial" w:eastAsia="Arial" w:hAnsi="Arial" w:cs="Arial"/>
          <w:i/>
          <w:color w:val="000000"/>
          <w:sz w:val="24"/>
          <w:szCs w:val="24"/>
        </w:rPr>
        <w:t>)</w:t>
      </w:r>
      <w:r w:rsidRPr="00400489">
        <w:rPr>
          <w:rFonts w:ascii="Arial" w:eastAsia="Arial" w:hAnsi="Arial" w:cs="Arial"/>
          <w:color w:val="000000"/>
          <w:sz w:val="24"/>
          <w:szCs w:val="24"/>
        </w:rPr>
        <w:t>, t</w:t>
      </w:r>
      <w:r w:rsidR="00CA7CC2" w:rsidRPr="00400489">
        <w:rPr>
          <w:rFonts w:ascii="Arial" w:eastAsia="Arial" w:hAnsi="Arial" w:cs="Arial"/>
          <w:color w:val="000000"/>
          <w:sz w:val="24"/>
          <w:szCs w:val="24"/>
        </w:rPr>
        <w:t>he Processor shall, in relation to any Personal Data Processed in connection with its obligations under the Contract:</w:t>
      </w:r>
    </w:p>
    <w:p w14:paraId="0D84F4AC" w14:textId="590D0429" w:rsidR="006B0EB1" w:rsidRPr="00400489" w:rsidRDefault="00CA7CC2" w:rsidP="00624A99">
      <w:pPr>
        <w:pStyle w:val="Heading2"/>
        <w:keepNext w:val="0"/>
        <w:keepLines w:val="0"/>
        <w:numPr>
          <w:ilvl w:val="2"/>
          <w:numId w:val="1"/>
        </w:numPr>
        <w:spacing w:before="120" w:after="120" w:line="240" w:lineRule="auto"/>
        <w:ind w:left="1985" w:hanging="851"/>
        <w:rPr>
          <w:rFonts w:ascii="Arial" w:eastAsia="Arial" w:hAnsi="Arial" w:cs="Arial"/>
          <w:sz w:val="24"/>
          <w:szCs w:val="24"/>
        </w:rPr>
      </w:pPr>
      <w:r w:rsidRPr="00400489">
        <w:rPr>
          <w:rFonts w:ascii="Arial" w:eastAsia="Arial" w:hAnsi="Arial" w:cs="Arial"/>
          <w:color w:val="000000"/>
          <w:sz w:val="24"/>
          <w:szCs w:val="24"/>
        </w:rPr>
        <w:t xml:space="preserve">not transfer Personal Data outside of the United Kingdom unless the prior written consent of the Controller has been obtained </w:t>
      </w:r>
      <w:r w:rsidR="00CB3CE3" w:rsidRPr="00400489">
        <w:rPr>
          <w:rFonts w:ascii="Arial" w:eastAsia="Arial" w:hAnsi="Arial" w:cs="Arial"/>
          <w:color w:val="000000"/>
          <w:sz w:val="24"/>
          <w:szCs w:val="24"/>
        </w:rPr>
        <w:t xml:space="preserve">(which requirement for the Controller's prior written consent </w:t>
      </w:r>
      <w:r w:rsidR="008E0638" w:rsidRPr="00400489">
        <w:rPr>
          <w:rFonts w:ascii="Arial" w:eastAsia="Arial" w:hAnsi="Arial" w:cs="Arial"/>
          <w:color w:val="000000"/>
          <w:sz w:val="24"/>
          <w:szCs w:val="24"/>
        </w:rPr>
        <w:t xml:space="preserve">to any </w:t>
      </w:r>
      <w:r w:rsidR="008E0638" w:rsidRPr="00400489">
        <w:rPr>
          <w:rFonts w:ascii="Arial" w:eastAsia="Arial" w:hAnsi="Arial" w:cs="Arial"/>
          <w:color w:val="000000"/>
          <w:sz w:val="24"/>
          <w:szCs w:val="24"/>
        </w:rPr>
        <w:lastRenderedPageBreak/>
        <w:t xml:space="preserve">proposed transfer outside of the United Kingdom </w:t>
      </w:r>
      <w:r w:rsidR="00CB3CE3" w:rsidRPr="00400489">
        <w:rPr>
          <w:rFonts w:ascii="Arial" w:eastAsia="Arial" w:hAnsi="Arial" w:cs="Arial"/>
          <w:color w:val="000000"/>
          <w:sz w:val="24"/>
          <w:szCs w:val="24"/>
        </w:rPr>
        <w:t>shall apply</w:t>
      </w:r>
      <w:r w:rsidR="00F76A94" w:rsidRPr="00400489">
        <w:rPr>
          <w:rFonts w:ascii="Arial" w:eastAsia="Arial" w:hAnsi="Arial" w:cs="Arial"/>
          <w:color w:val="000000"/>
          <w:sz w:val="24"/>
          <w:szCs w:val="24"/>
        </w:rPr>
        <w:t xml:space="preserve"> notwithstanding any provisions</w:t>
      </w:r>
      <w:r w:rsidR="00CB3CE3" w:rsidRPr="00400489">
        <w:rPr>
          <w:rFonts w:ascii="Arial" w:eastAsia="Arial" w:hAnsi="Arial" w:cs="Arial"/>
          <w:color w:val="000000"/>
          <w:sz w:val="24"/>
          <w:szCs w:val="24"/>
        </w:rPr>
        <w:t xml:space="preserve"> to t</w:t>
      </w:r>
      <w:r w:rsidR="00624A99">
        <w:rPr>
          <w:rFonts w:ascii="Arial" w:eastAsia="Arial" w:hAnsi="Arial" w:cs="Arial"/>
          <w:color w:val="000000"/>
          <w:sz w:val="24"/>
          <w:szCs w:val="24"/>
        </w:rPr>
        <w:t>he contrary in Joint Schedule 10</w:t>
      </w:r>
      <w:r w:rsidR="00CB3CE3" w:rsidRPr="00400489">
        <w:rPr>
          <w:rFonts w:ascii="Arial" w:eastAsia="Arial" w:hAnsi="Arial" w:cs="Arial"/>
          <w:color w:val="000000"/>
          <w:sz w:val="24"/>
          <w:szCs w:val="24"/>
        </w:rPr>
        <w:t xml:space="preserve"> </w:t>
      </w:r>
      <w:r w:rsidR="00CB3CE3" w:rsidRPr="00624A99">
        <w:rPr>
          <w:rFonts w:ascii="Arial" w:eastAsia="Arial" w:hAnsi="Arial" w:cs="Arial"/>
          <w:i/>
          <w:color w:val="000000"/>
          <w:sz w:val="24"/>
          <w:szCs w:val="24"/>
        </w:rPr>
        <w:t>(Processing Data)</w:t>
      </w:r>
      <w:r w:rsidR="00CB3CE3" w:rsidRPr="00400489">
        <w:rPr>
          <w:rFonts w:ascii="Arial" w:eastAsia="Arial" w:hAnsi="Arial" w:cs="Arial"/>
          <w:color w:val="000000"/>
          <w:sz w:val="24"/>
          <w:szCs w:val="24"/>
        </w:rPr>
        <w:t xml:space="preserve">) </w:t>
      </w:r>
      <w:r w:rsidRPr="00400489">
        <w:rPr>
          <w:rFonts w:ascii="Arial" w:eastAsia="Arial" w:hAnsi="Arial" w:cs="Arial"/>
          <w:color w:val="000000"/>
          <w:sz w:val="24"/>
          <w:szCs w:val="24"/>
        </w:rPr>
        <w:t>and the following conditions are fulfilled:</w:t>
      </w:r>
    </w:p>
    <w:p w14:paraId="40AB18B7" w14:textId="278C025D" w:rsidR="006B0EB1" w:rsidRPr="00400489" w:rsidRDefault="00CA7CC2" w:rsidP="00624A99">
      <w:pPr>
        <w:pStyle w:val="Heading2"/>
        <w:keepNext w:val="0"/>
        <w:keepLines w:val="0"/>
        <w:numPr>
          <w:ilvl w:val="3"/>
          <w:numId w:val="1"/>
        </w:numPr>
        <w:spacing w:before="120" w:after="120" w:line="240" w:lineRule="auto"/>
        <w:ind w:left="2694" w:hanging="709"/>
        <w:rPr>
          <w:rFonts w:ascii="Arial" w:eastAsia="Arial" w:hAnsi="Arial" w:cs="Arial"/>
          <w:sz w:val="24"/>
          <w:szCs w:val="24"/>
        </w:rPr>
      </w:pPr>
      <w:r w:rsidRPr="00400489">
        <w:rPr>
          <w:rFonts w:ascii="Arial" w:eastAsia="Arial" w:hAnsi="Arial" w:cs="Arial"/>
          <w:color w:val="000000"/>
          <w:sz w:val="24"/>
          <w:szCs w:val="24"/>
        </w:rPr>
        <w:t xml:space="preserve">the Controller or the Processor has provided appropriate safeguards in relation to the transfer (whether in accordance with </w:t>
      </w:r>
      <w:r w:rsidR="00CB3CE3" w:rsidRPr="00400489">
        <w:rPr>
          <w:rFonts w:ascii="Arial" w:eastAsia="Arial" w:hAnsi="Arial" w:cs="Arial"/>
          <w:color w:val="000000"/>
          <w:sz w:val="24"/>
          <w:szCs w:val="24"/>
        </w:rPr>
        <w:t xml:space="preserve">UK </w:t>
      </w:r>
      <w:r w:rsidRPr="00400489">
        <w:rPr>
          <w:rFonts w:ascii="Arial" w:eastAsia="Arial" w:hAnsi="Arial" w:cs="Arial"/>
          <w:color w:val="000000"/>
          <w:sz w:val="24"/>
          <w:szCs w:val="24"/>
        </w:rPr>
        <w:t xml:space="preserve">GDPR Article 46 or </w:t>
      </w:r>
      <w:r w:rsidR="00CB3CE3" w:rsidRPr="00400489">
        <w:rPr>
          <w:rFonts w:ascii="Arial" w:eastAsia="Arial" w:hAnsi="Arial" w:cs="Arial"/>
          <w:color w:val="000000"/>
          <w:sz w:val="24"/>
          <w:szCs w:val="24"/>
        </w:rPr>
        <w:t xml:space="preserve">DPA 2018 Section 75 or EU GDP </w:t>
      </w:r>
      <w:r w:rsidRPr="00400489">
        <w:rPr>
          <w:rFonts w:ascii="Arial" w:eastAsia="Arial" w:hAnsi="Arial" w:cs="Arial"/>
          <w:color w:val="000000"/>
          <w:sz w:val="24"/>
          <w:szCs w:val="24"/>
        </w:rPr>
        <w:t xml:space="preserve">Article </w:t>
      </w:r>
      <w:r w:rsidR="00CB3CE3" w:rsidRPr="00400489">
        <w:rPr>
          <w:rFonts w:ascii="Arial" w:eastAsia="Arial" w:hAnsi="Arial" w:cs="Arial"/>
          <w:color w:val="000000"/>
          <w:sz w:val="24"/>
          <w:szCs w:val="24"/>
        </w:rPr>
        <w:t>46</w:t>
      </w:r>
      <w:r w:rsidRPr="00400489">
        <w:rPr>
          <w:rFonts w:ascii="Arial" w:eastAsia="Arial" w:hAnsi="Arial" w:cs="Arial"/>
          <w:color w:val="000000"/>
          <w:sz w:val="24"/>
          <w:szCs w:val="24"/>
        </w:rPr>
        <w:t xml:space="preserve">) as determined by the </w:t>
      </w:r>
      <w:proofErr w:type="gramStart"/>
      <w:r w:rsidRPr="00400489">
        <w:rPr>
          <w:rFonts w:ascii="Arial" w:eastAsia="Arial" w:hAnsi="Arial" w:cs="Arial"/>
          <w:color w:val="000000"/>
          <w:sz w:val="24"/>
          <w:szCs w:val="24"/>
        </w:rPr>
        <w:t>Controller;</w:t>
      </w:r>
      <w:proofErr w:type="gramEnd"/>
    </w:p>
    <w:p w14:paraId="7EE00117" w14:textId="77777777" w:rsidR="006B0EB1" w:rsidRPr="00400489" w:rsidRDefault="00CA7CC2" w:rsidP="00624A99">
      <w:pPr>
        <w:pStyle w:val="Heading2"/>
        <w:keepNext w:val="0"/>
        <w:keepLines w:val="0"/>
        <w:numPr>
          <w:ilvl w:val="3"/>
          <w:numId w:val="1"/>
        </w:numPr>
        <w:spacing w:before="120" w:after="120" w:line="240" w:lineRule="auto"/>
        <w:ind w:left="2694" w:hanging="709"/>
        <w:rPr>
          <w:rFonts w:ascii="Arial" w:eastAsia="Arial" w:hAnsi="Arial" w:cs="Arial"/>
          <w:sz w:val="24"/>
          <w:szCs w:val="24"/>
        </w:rPr>
      </w:pPr>
      <w:r w:rsidRPr="00400489">
        <w:rPr>
          <w:rFonts w:ascii="Arial" w:eastAsia="Arial" w:hAnsi="Arial" w:cs="Arial"/>
          <w:color w:val="000000"/>
          <w:sz w:val="24"/>
          <w:szCs w:val="24"/>
        </w:rPr>
        <w:t xml:space="preserve">the Data Subject has enforceable rights and effective legal </w:t>
      </w:r>
      <w:proofErr w:type="gramStart"/>
      <w:r w:rsidRPr="00400489">
        <w:rPr>
          <w:rFonts w:ascii="Arial" w:eastAsia="Arial" w:hAnsi="Arial" w:cs="Arial"/>
          <w:color w:val="000000"/>
          <w:sz w:val="24"/>
          <w:szCs w:val="24"/>
        </w:rPr>
        <w:t>remedies;</w:t>
      </w:r>
      <w:proofErr w:type="gramEnd"/>
    </w:p>
    <w:p w14:paraId="7296BCAC" w14:textId="77777777" w:rsidR="006B0EB1" w:rsidRPr="00400489" w:rsidRDefault="00CA7CC2" w:rsidP="00624A99">
      <w:pPr>
        <w:pStyle w:val="Heading2"/>
        <w:keepNext w:val="0"/>
        <w:keepLines w:val="0"/>
        <w:numPr>
          <w:ilvl w:val="3"/>
          <w:numId w:val="1"/>
        </w:numPr>
        <w:spacing w:before="120" w:after="120" w:line="240" w:lineRule="auto"/>
        <w:ind w:left="2694" w:hanging="709"/>
        <w:rPr>
          <w:rFonts w:ascii="Arial" w:eastAsia="Arial" w:hAnsi="Arial" w:cs="Arial"/>
          <w:sz w:val="24"/>
          <w:szCs w:val="24"/>
        </w:rPr>
      </w:pPr>
      <w:r w:rsidRPr="00400489">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BD1134A" w14:textId="41437071" w:rsidR="006B0EB1" w:rsidRPr="00400489" w:rsidRDefault="00CA7CC2" w:rsidP="00624A99">
      <w:pPr>
        <w:pStyle w:val="Heading2"/>
        <w:keepNext w:val="0"/>
        <w:keepLines w:val="0"/>
        <w:numPr>
          <w:ilvl w:val="3"/>
          <w:numId w:val="1"/>
        </w:numPr>
        <w:spacing w:before="120" w:after="120" w:line="240" w:lineRule="auto"/>
        <w:ind w:left="2694" w:hanging="709"/>
        <w:rPr>
          <w:rFonts w:ascii="Arial" w:eastAsia="Arial" w:hAnsi="Arial" w:cs="Arial"/>
          <w:sz w:val="24"/>
          <w:szCs w:val="24"/>
        </w:rPr>
      </w:pPr>
      <w:r w:rsidRPr="00400489">
        <w:rPr>
          <w:rFonts w:ascii="Arial" w:eastAsia="Arial" w:hAnsi="Arial" w:cs="Arial"/>
          <w:color w:val="000000"/>
          <w:sz w:val="24"/>
          <w:szCs w:val="24"/>
        </w:rPr>
        <w:t>the Processor complies with any reasonable instructions notified to it in advance by the Controller with respect to the Processing of the Personal Data</w:t>
      </w:r>
      <w:r w:rsidR="00C97E5C" w:rsidRPr="00400489">
        <w:rPr>
          <w:rFonts w:ascii="Arial" w:eastAsia="Arial" w:hAnsi="Arial" w:cs="Arial"/>
          <w:color w:val="000000"/>
          <w:sz w:val="24"/>
          <w:szCs w:val="24"/>
        </w:rPr>
        <w:t>.</w:t>
      </w:r>
    </w:p>
    <w:p w14:paraId="3EDDBAA6" w14:textId="3AD154FF"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Failure by the Processor to comply with the obligations set out in Paragraph 7.1 shall be deemed to be an event to which Clause 13.3.1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applies and Clause 13.4.1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shall apply as if the Contract had been terminated under Clause 13.3.1. </w:t>
      </w:r>
    </w:p>
    <w:p w14:paraId="5B4E580E" w14:textId="77777777" w:rsidR="006B0EB1" w:rsidRPr="00400489" w:rsidRDefault="00CA7CC2" w:rsidP="00624A99">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8" w:name="_heading=h.3j2qqm3" w:colFirst="0" w:colLast="0"/>
      <w:bookmarkEnd w:id="18"/>
      <w:r w:rsidRPr="00400489">
        <w:rPr>
          <w:rFonts w:ascii="Arial" w:eastAsia="Arial" w:hAnsi="Arial" w:cs="Arial"/>
          <w:b/>
          <w:color w:val="000000"/>
          <w:sz w:val="24"/>
          <w:szCs w:val="24"/>
        </w:rPr>
        <w:t xml:space="preserve">Commissioners for Revenue and Customs Act 2005 and related Legislation </w:t>
      </w:r>
    </w:p>
    <w:p w14:paraId="6795048C"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9" w:name="_heading=h.1y810tw" w:colFirst="0" w:colLast="0"/>
      <w:bookmarkEnd w:id="19"/>
      <w:r w:rsidRPr="00400489">
        <w:rPr>
          <w:rFonts w:ascii="Arial" w:eastAsia="Arial" w:hAnsi="Arial" w:cs="Arial"/>
          <w:color w:val="000000"/>
          <w:sz w:val="24"/>
          <w:szCs w:val="24"/>
        </w:rPr>
        <w:t xml:space="preserve">The Supplier shall comply </w:t>
      </w:r>
      <w:proofErr w:type="gramStart"/>
      <w:r w:rsidRPr="00400489">
        <w:rPr>
          <w:rFonts w:ascii="Arial" w:eastAsia="Arial" w:hAnsi="Arial" w:cs="Arial"/>
          <w:color w:val="000000"/>
          <w:sz w:val="24"/>
          <w:szCs w:val="24"/>
        </w:rPr>
        <w:t>with, and</w:t>
      </w:r>
      <w:proofErr w:type="gramEnd"/>
      <w:r w:rsidRPr="00400489">
        <w:rPr>
          <w:rFonts w:ascii="Arial" w:eastAsia="Arial" w:hAnsi="Arial" w:cs="Arial"/>
          <w:color w:val="000000"/>
          <w:sz w:val="24"/>
          <w:szCs w:val="24"/>
        </w:rPr>
        <w:t xml:space="preserve"> shall ensure that all Supplier Staff who will have access to, or are provided with, Government Data comply with the obligations set out in Section 18 of the Commissioners for Revenue and Customs Act 2005 (“</w:t>
      </w:r>
      <w:r w:rsidRPr="00400489">
        <w:rPr>
          <w:rFonts w:ascii="Arial" w:eastAsia="Arial" w:hAnsi="Arial" w:cs="Arial"/>
          <w:b/>
          <w:color w:val="000000"/>
          <w:sz w:val="24"/>
          <w:szCs w:val="24"/>
        </w:rPr>
        <w:t>CRCA</w:t>
      </w:r>
      <w:r w:rsidRPr="00400489">
        <w:rPr>
          <w:rFonts w:ascii="Arial" w:eastAsia="Arial" w:hAnsi="Arial" w:cs="Arial"/>
          <w:color w:val="000000"/>
          <w:sz w:val="24"/>
          <w:szCs w:val="24"/>
        </w:rPr>
        <w:t xml:space="preserve">”) to maintain the confidentiality of Government Data.  Further, the Supplier acknowledges that (without prejudice to any other rights and remedies of the Buyer) a breach of those obligations may lead to a prosecution under Section 19 of CRCA. </w:t>
      </w:r>
    </w:p>
    <w:p w14:paraId="5ADC6B8A"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sidRPr="00400489">
        <w:rPr>
          <w:rFonts w:ascii="Arial" w:eastAsia="Arial" w:hAnsi="Arial" w:cs="Arial"/>
          <w:color w:val="000000"/>
          <w:sz w:val="24"/>
          <w:szCs w:val="24"/>
        </w:rPr>
        <w:t xml:space="preserve">The Supplier shall comply </w:t>
      </w:r>
      <w:proofErr w:type="gramStart"/>
      <w:r w:rsidRPr="00400489">
        <w:rPr>
          <w:rFonts w:ascii="Arial" w:eastAsia="Arial" w:hAnsi="Arial" w:cs="Arial"/>
          <w:color w:val="000000"/>
          <w:sz w:val="24"/>
          <w:szCs w:val="24"/>
        </w:rPr>
        <w:t>with, and</w:t>
      </w:r>
      <w:proofErr w:type="gramEnd"/>
      <w:r w:rsidRPr="00400489">
        <w:rPr>
          <w:rFonts w:ascii="Arial" w:eastAsia="Arial" w:hAnsi="Arial" w:cs="Arial"/>
          <w:color w:val="000000"/>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400489">
        <w:rPr>
          <w:rFonts w:ascii="Arial" w:hAnsi="Arial" w:cs="Arial"/>
          <w:i/>
          <w:color w:val="000000"/>
          <w:sz w:val="24"/>
          <w:szCs w:val="24"/>
        </w:rPr>
        <w:t xml:space="preserve"> </w:t>
      </w:r>
      <w:r w:rsidRPr="00400489">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14:paraId="55167090"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 xml:space="preserve">The Supplier shall comply </w:t>
      </w:r>
      <w:proofErr w:type="gramStart"/>
      <w:r w:rsidRPr="00400489">
        <w:rPr>
          <w:rFonts w:ascii="Arial" w:eastAsia="Arial" w:hAnsi="Arial" w:cs="Arial"/>
          <w:color w:val="000000"/>
          <w:sz w:val="24"/>
          <w:szCs w:val="24"/>
        </w:rPr>
        <w:t>with, and</w:t>
      </w:r>
      <w:proofErr w:type="gramEnd"/>
      <w:r w:rsidRPr="00400489">
        <w:rPr>
          <w:rFonts w:ascii="Arial" w:eastAsia="Arial" w:hAnsi="Arial" w:cs="Arial"/>
          <w:color w:val="000000"/>
          <w:sz w:val="24"/>
          <w:szCs w:val="24"/>
        </w:rPr>
        <w:t xml:space="preserve">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p>
    <w:p w14:paraId="58E91F93"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lastRenderedPageBreak/>
        <w:t>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p>
    <w:p w14:paraId="026D2D63" w14:textId="77777777"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r w:rsidRPr="00400489">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14:paraId="3172E06B" w14:textId="711DE50B" w:rsidR="006B0EB1" w:rsidRPr="00400489" w:rsidRDefault="00CA7CC2" w:rsidP="00624A99">
      <w:pPr>
        <w:pStyle w:val="Heading2"/>
        <w:keepNext w:val="0"/>
        <w:keepLines w:val="0"/>
        <w:numPr>
          <w:ilvl w:val="1"/>
          <w:numId w:val="1"/>
        </w:numPr>
        <w:spacing w:before="120" w:after="120" w:line="240" w:lineRule="auto"/>
        <w:ind w:left="1134" w:hanging="708"/>
        <w:rPr>
          <w:rFonts w:ascii="Arial" w:eastAsia="Arial" w:hAnsi="Arial" w:cs="Arial"/>
          <w:sz w:val="24"/>
          <w:szCs w:val="24"/>
        </w:rPr>
      </w:pPr>
      <w:proofErr w:type="gramStart"/>
      <w:r w:rsidRPr="00400489">
        <w:rPr>
          <w:rFonts w:ascii="Arial" w:eastAsia="Arial" w:hAnsi="Arial" w:cs="Arial"/>
          <w:color w:val="000000"/>
          <w:sz w:val="24"/>
          <w:szCs w:val="24"/>
        </w:rPr>
        <w:t>In the event that</w:t>
      </w:r>
      <w:proofErr w:type="gramEnd"/>
      <w:r w:rsidRPr="00400489">
        <w:rPr>
          <w:rFonts w:ascii="Arial" w:eastAsia="Arial" w:hAnsi="Arial" w:cs="Arial"/>
          <w:color w:val="000000"/>
          <w:sz w:val="24"/>
          <w:szCs w:val="24"/>
        </w:rPr>
        <w:t xml:space="preserve"> the Supplier or the Supplier Staff fail to comply with this Paragraph 8, the Buyer reserves the right to terminate the Contract as if that failure to comply were an event to which Clause 13.3.1 of the </w:t>
      </w:r>
      <w:r w:rsidR="008D118E" w:rsidRPr="00400489">
        <w:rPr>
          <w:rFonts w:ascii="Arial" w:eastAsia="Arial" w:hAnsi="Arial" w:cs="Arial"/>
          <w:color w:val="000000"/>
          <w:sz w:val="24"/>
          <w:szCs w:val="24"/>
        </w:rPr>
        <w:t xml:space="preserve">General </w:t>
      </w:r>
      <w:r w:rsidRPr="00400489">
        <w:rPr>
          <w:rFonts w:ascii="Arial" w:eastAsia="Arial" w:hAnsi="Arial" w:cs="Arial"/>
          <w:color w:val="000000"/>
          <w:sz w:val="24"/>
          <w:szCs w:val="24"/>
        </w:rPr>
        <w:t xml:space="preserve">Terms applies. </w:t>
      </w:r>
    </w:p>
    <w:p w14:paraId="1F183E38" w14:textId="77777777" w:rsidR="006B0EB1" w:rsidRPr="00400489" w:rsidRDefault="00CA7CC2" w:rsidP="00624A99">
      <w:pPr>
        <w:spacing w:before="120" w:after="120" w:line="240" w:lineRule="auto"/>
        <w:rPr>
          <w:rFonts w:eastAsia="Arial"/>
          <w:b/>
        </w:rPr>
      </w:pPr>
      <w:r w:rsidRPr="00400489">
        <w:br w:type="page"/>
      </w:r>
      <w:r w:rsidRPr="00400489">
        <w:rPr>
          <w:rFonts w:eastAsia="Arial"/>
          <w:b/>
        </w:rPr>
        <w:lastRenderedPageBreak/>
        <w:t>Annex 1</w:t>
      </w:r>
    </w:p>
    <w:p w14:paraId="0017B08E" w14:textId="77777777" w:rsidR="006B0EB1" w:rsidRPr="00400489" w:rsidRDefault="00CA7CC2" w:rsidP="00624A99">
      <w:pPr>
        <w:spacing w:before="120" w:after="120" w:line="240" w:lineRule="auto"/>
        <w:rPr>
          <w:rFonts w:eastAsia="Arial"/>
          <w:b/>
        </w:rPr>
      </w:pPr>
      <w:r w:rsidRPr="00400489">
        <w:rPr>
          <w:rFonts w:eastAsia="Arial"/>
          <w:b/>
        </w:rPr>
        <w:t>Excerpt from HMRC’s “Test for Tax Non-Compliance”</w:t>
      </w:r>
    </w:p>
    <w:p w14:paraId="6254E96C" w14:textId="38E4629E" w:rsidR="006B0EB1" w:rsidRPr="00400489" w:rsidRDefault="00CA7CC2" w:rsidP="00624A99">
      <w:pPr>
        <w:pBdr>
          <w:top w:val="nil"/>
          <w:left w:val="nil"/>
          <w:bottom w:val="nil"/>
          <w:right w:val="nil"/>
          <w:between w:val="nil"/>
        </w:pBdr>
        <w:spacing w:before="120" w:after="120" w:line="240" w:lineRule="auto"/>
        <w:rPr>
          <w:rFonts w:eastAsia="Arial"/>
        </w:rPr>
      </w:pPr>
      <w:r w:rsidRPr="00400489">
        <w:rPr>
          <w:rFonts w:eastAsia="Arial"/>
          <w:i/>
        </w:rPr>
        <w:t>Condition one (An in-scope entity or person)</w:t>
      </w:r>
    </w:p>
    <w:p w14:paraId="02791FDC" w14:textId="7E889547" w:rsidR="006B0EB1" w:rsidRPr="00400489" w:rsidRDefault="00CA7CC2" w:rsidP="00624A99">
      <w:pPr>
        <w:numPr>
          <w:ilvl w:val="0"/>
          <w:numId w:val="7"/>
        </w:numPr>
        <w:pBdr>
          <w:top w:val="nil"/>
          <w:left w:val="nil"/>
          <w:bottom w:val="nil"/>
          <w:right w:val="nil"/>
          <w:between w:val="nil"/>
        </w:pBdr>
        <w:spacing w:before="120" w:after="120" w:line="240" w:lineRule="auto"/>
        <w:rPr>
          <w:rFonts w:eastAsia="Arial"/>
        </w:rPr>
      </w:pPr>
      <w:r w:rsidRPr="00400489">
        <w:rPr>
          <w:rFonts w:eastAsia="Arial"/>
        </w:rPr>
        <w:t>There is a person or entity which is either: (“X”)</w:t>
      </w:r>
    </w:p>
    <w:p w14:paraId="7BC7E734" w14:textId="248B9D3C" w:rsidR="006B0EB1" w:rsidRPr="00400489" w:rsidRDefault="00CA7CC2" w:rsidP="00624A99">
      <w:pPr>
        <w:numPr>
          <w:ilvl w:val="0"/>
          <w:numId w:val="6"/>
        </w:numPr>
        <w:pBdr>
          <w:top w:val="nil"/>
          <w:left w:val="nil"/>
          <w:bottom w:val="nil"/>
          <w:right w:val="nil"/>
          <w:between w:val="nil"/>
        </w:pBdr>
        <w:spacing w:before="120" w:after="120" w:line="240" w:lineRule="auto"/>
        <w:ind w:left="709" w:hanging="283"/>
        <w:rPr>
          <w:rFonts w:eastAsia="Arial"/>
        </w:rPr>
      </w:pPr>
      <w:r w:rsidRPr="00400489">
        <w:rPr>
          <w:rFonts w:eastAsia="Arial"/>
        </w:rPr>
        <w:t>The Economic Operator or Essential Subcontractor (EOS</w:t>
      </w:r>
      <w:proofErr w:type="gramStart"/>
      <w:r w:rsidRPr="00400489">
        <w:rPr>
          <w:rFonts w:eastAsia="Arial"/>
        </w:rPr>
        <w:t>)</w:t>
      </w:r>
      <w:r w:rsidR="007C3396">
        <w:rPr>
          <w:rFonts w:eastAsia="Arial"/>
        </w:rPr>
        <w:t>;</w:t>
      </w:r>
      <w:proofErr w:type="gramEnd"/>
    </w:p>
    <w:p w14:paraId="3EFD9D25" w14:textId="77777777" w:rsidR="006B0EB1" w:rsidRPr="00400489" w:rsidRDefault="00CA7CC2" w:rsidP="00624A99">
      <w:pPr>
        <w:numPr>
          <w:ilvl w:val="0"/>
          <w:numId w:val="6"/>
        </w:numPr>
        <w:pBdr>
          <w:top w:val="nil"/>
          <w:left w:val="nil"/>
          <w:bottom w:val="nil"/>
          <w:right w:val="nil"/>
          <w:between w:val="nil"/>
        </w:pBdr>
        <w:spacing w:before="120" w:after="120" w:line="240" w:lineRule="auto"/>
        <w:ind w:left="709" w:hanging="283"/>
        <w:rPr>
          <w:rFonts w:eastAsia="Arial"/>
        </w:rPr>
      </w:pPr>
      <w:r w:rsidRPr="00400489">
        <w:rPr>
          <w:rFonts w:eastAsia="Arial"/>
        </w:rPr>
        <w:t xml:space="preserve">Part of the same Group of companies of EOS. An entity will be treated as within the same Group of EOS where that entities’ financial statements would be required to be consolidated with those of EOS if prepared in accordance with </w:t>
      </w:r>
      <w:r w:rsidRPr="00400489">
        <w:rPr>
          <w:rFonts w:eastAsia="Arial"/>
          <w:i/>
        </w:rPr>
        <w:t>IFRS 10 Consolidated Financial Accounts</w:t>
      </w:r>
      <w:r w:rsidRPr="00400489">
        <w:rPr>
          <w:rFonts w:eastAsia="Arial"/>
          <w:i/>
          <w:vertAlign w:val="superscript"/>
        </w:rPr>
        <w:footnoteReference w:id="1"/>
      </w:r>
      <w:r w:rsidRPr="00400489">
        <w:rPr>
          <w:rFonts w:eastAsia="Arial"/>
        </w:rPr>
        <w:t>;</w:t>
      </w:r>
    </w:p>
    <w:p w14:paraId="5F9F9CDF" w14:textId="77777777" w:rsidR="006B0EB1" w:rsidRPr="00400489" w:rsidRDefault="00CA7CC2" w:rsidP="00624A99">
      <w:pPr>
        <w:numPr>
          <w:ilvl w:val="0"/>
          <w:numId w:val="6"/>
        </w:numPr>
        <w:pBdr>
          <w:top w:val="nil"/>
          <w:left w:val="nil"/>
          <w:bottom w:val="nil"/>
          <w:right w:val="nil"/>
          <w:between w:val="nil"/>
        </w:pBdr>
        <w:spacing w:before="120" w:after="120" w:line="240" w:lineRule="auto"/>
        <w:ind w:left="709" w:hanging="283"/>
        <w:rPr>
          <w:rFonts w:eastAsia="Arial"/>
        </w:rPr>
      </w:pPr>
      <w:r w:rsidRPr="00400489">
        <w:rPr>
          <w:rFonts w:eastAsia="Arial"/>
        </w:rPr>
        <w:t>Any director, shareholder or other person (P) which exercises control over EOS. ‘Control’ means P can secure, through holding of shares or powers under articles of association or other document that EOS’s affairs are conducted in accordance with P’s wishes.</w:t>
      </w:r>
    </w:p>
    <w:p w14:paraId="0951F8E0" w14:textId="77777777" w:rsidR="006B0EB1" w:rsidRPr="00400489" w:rsidRDefault="00CA7CC2" w:rsidP="00624A99">
      <w:pPr>
        <w:pBdr>
          <w:top w:val="nil"/>
          <w:left w:val="nil"/>
          <w:bottom w:val="nil"/>
          <w:right w:val="nil"/>
          <w:between w:val="nil"/>
        </w:pBdr>
        <w:spacing w:before="120" w:after="120" w:line="240" w:lineRule="auto"/>
        <w:rPr>
          <w:rFonts w:eastAsia="Arial"/>
        </w:rPr>
      </w:pPr>
      <w:r w:rsidRPr="00400489">
        <w:rPr>
          <w:rFonts w:eastAsia="Arial"/>
        </w:rPr>
        <w:t> </w:t>
      </w:r>
    </w:p>
    <w:p w14:paraId="28C54D6B" w14:textId="77777777" w:rsidR="006B0EB1" w:rsidRPr="00400489" w:rsidRDefault="00CA7CC2" w:rsidP="00624A99">
      <w:pPr>
        <w:pBdr>
          <w:top w:val="nil"/>
          <w:left w:val="nil"/>
          <w:bottom w:val="nil"/>
          <w:right w:val="nil"/>
          <w:between w:val="nil"/>
        </w:pBdr>
        <w:spacing w:before="120" w:after="120" w:line="240" w:lineRule="auto"/>
        <w:rPr>
          <w:rFonts w:eastAsia="Arial"/>
        </w:rPr>
      </w:pPr>
      <w:r w:rsidRPr="00400489">
        <w:rPr>
          <w:rFonts w:eastAsia="Arial"/>
          <w:i/>
        </w:rPr>
        <w:t>Condition two (Arrangements involving evasion, abuse or tax avoidance)</w:t>
      </w:r>
    </w:p>
    <w:p w14:paraId="5A54308F" w14:textId="01547A2F" w:rsidR="006B0EB1" w:rsidRPr="00400489" w:rsidRDefault="00CA7CC2" w:rsidP="00624A99">
      <w:pPr>
        <w:numPr>
          <w:ilvl w:val="0"/>
          <w:numId w:val="7"/>
        </w:numPr>
        <w:pBdr>
          <w:top w:val="nil"/>
          <w:left w:val="nil"/>
          <w:bottom w:val="nil"/>
          <w:right w:val="nil"/>
          <w:between w:val="nil"/>
        </w:pBdr>
        <w:spacing w:before="120" w:after="120" w:line="240" w:lineRule="auto"/>
        <w:rPr>
          <w:rFonts w:eastAsia="Arial"/>
        </w:rPr>
      </w:pPr>
      <w:r w:rsidRPr="00400489">
        <w:rPr>
          <w:rFonts w:eastAsia="Arial"/>
        </w:rPr>
        <w:t>X has been engaged in one or more of the following:</w:t>
      </w:r>
    </w:p>
    <w:p w14:paraId="6AD7D216"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r w:rsidRPr="00400489">
        <w:rPr>
          <w:rFonts w:eastAsia="Arial"/>
        </w:rPr>
        <w:t>Fraudulent evasion</w:t>
      </w:r>
      <w:r w:rsidRPr="00400489">
        <w:rPr>
          <w:rFonts w:eastAsia="Arial"/>
          <w:vertAlign w:val="superscript"/>
        </w:rPr>
        <w:footnoteReference w:id="2"/>
      </w:r>
      <w:r w:rsidRPr="00400489">
        <w:rPr>
          <w:rFonts w:eastAsia="Arial"/>
        </w:rPr>
        <w:t>;</w:t>
      </w:r>
    </w:p>
    <w:p w14:paraId="40252C2C"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r w:rsidRPr="00400489">
        <w:rPr>
          <w:rFonts w:eastAsia="Arial"/>
        </w:rPr>
        <w:t>Conduct caught by the General Anti-Abuse Rule</w:t>
      </w:r>
      <w:r w:rsidRPr="00400489">
        <w:rPr>
          <w:rFonts w:eastAsia="Arial"/>
          <w:vertAlign w:val="superscript"/>
        </w:rPr>
        <w:footnoteReference w:id="3"/>
      </w:r>
      <w:r w:rsidRPr="00400489">
        <w:rPr>
          <w:rFonts w:eastAsia="Arial"/>
        </w:rPr>
        <w:t>;</w:t>
      </w:r>
    </w:p>
    <w:p w14:paraId="787434E3"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r w:rsidRPr="00400489">
        <w:rPr>
          <w:rFonts w:eastAsia="Arial"/>
        </w:rPr>
        <w:t>Conduct caught by the Halifax Abuse principle</w:t>
      </w:r>
      <w:r w:rsidRPr="00400489">
        <w:rPr>
          <w:rFonts w:eastAsia="Arial"/>
          <w:vertAlign w:val="superscript"/>
        </w:rPr>
        <w:footnoteReference w:id="4"/>
      </w:r>
      <w:r w:rsidRPr="00400489">
        <w:rPr>
          <w:rFonts w:eastAsia="Arial"/>
        </w:rPr>
        <w:t>;</w:t>
      </w:r>
    </w:p>
    <w:p w14:paraId="1F8AB8D6"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proofErr w:type="gramStart"/>
      <w:r w:rsidRPr="00400489">
        <w:rPr>
          <w:rFonts w:eastAsia="Arial"/>
        </w:rPr>
        <w:t>Entered into</w:t>
      </w:r>
      <w:proofErr w:type="gramEnd"/>
      <w:r w:rsidRPr="00400489">
        <w:rPr>
          <w:rFonts w:eastAsia="Arial"/>
        </w:rPr>
        <w:t xml:space="preserve"> arrangements caught by a DOTAS or VADR scheme</w:t>
      </w:r>
      <w:r w:rsidRPr="00400489">
        <w:rPr>
          <w:rFonts w:eastAsia="Arial"/>
          <w:vertAlign w:val="superscript"/>
        </w:rPr>
        <w:footnoteReference w:id="5"/>
      </w:r>
      <w:r w:rsidRPr="00400489">
        <w:rPr>
          <w:rFonts w:eastAsia="Arial"/>
        </w:rPr>
        <w:t>;</w:t>
      </w:r>
    </w:p>
    <w:p w14:paraId="17224A75"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r w:rsidRPr="00400489">
        <w:rPr>
          <w:rFonts w:eastAsia="Arial"/>
        </w:rPr>
        <w:t>Conduct caught by a recognised ‘anti-avoidance rule’</w:t>
      </w:r>
      <w:r w:rsidRPr="00400489">
        <w:rPr>
          <w:rFonts w:eastAsia="Arial"/>
          <w:vertAlign w:val="superscript"/>
        </w:rPr>
        <w:footnoteReference w:id="6"/>
      </w:r>
      <w:r w:rsidRPr="00400489">
        <w:rPr>
          <w:rFonts w:eastAsia="Arial"/>
        </w:rPr>
        <w:t xml:space="preserve"> being a statutory provision which targets arrangements where either a main purpose, or an expected benefit, is to obtain a tax advantage or where the arrangement is not </w:t>
      </w:r>
      <w:proofErr w:type="gramStart"/>
      <w:r w:rsidRPr="00400489">
        <w:rPr>
          <w:rFonts w:eastAsia="Arial"/>
        </w:rPr>
        <w:t>effected</w:t>
      </w:r>
      <w:proofErr w:type="gramEnd"/>
      <w:r w:rsidRPr="00400489">
        <w:rPr>
          <w:rFonts w:eastAsia="Arial"/>
        </w:rPr>
        <w:t xml:space="preserve"> for commercial purposes. ‘Targeted Anti-Avoidance Rules’ (TAARs). </w:t>
      </w:r>
      <w:r w:rsidRPr="00400489">
        <w:rPr>
          <w:rFonts w:eastAsia="Arial"/>
        </w:rPr>
        <w:lastRenderedPageBreak/>
        <w:t xml:space="preserve">It may be useful to confirm that the Diverted Profits Tax is a TAAR for these </w:t>
      </w:r>
      <w:proofErr w:type="gramStart"/>
      <w:r w:rsidRPr="00400489">
        <w:rPr>
          <w:rFonts w:eastAsia="Arial"/>
        </w:rPr>
        <w:t>purposes;</w:t>
      </w:r>
      <w:proofErr w:type="gramEnd"/>
    </w:p>
    <w:p w14:paraId="21F6DDF0"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proofErr w:type="gramStart"/>
      <w:r w:rsidRPr="00400489">
        <w:rPr>
          <w:rFonts w:eastAsia="Arial"/>
        </w:rPr>
        <w:t>Entered into</w:t>
      </w:r>
      <w:proofErr w:type="gramEnd"/>
      <w:r w:rsidRPr="00400489">
        <w:rPr>
          <w:rFonts w:eastAsia="Arial"/>
        </w:rPr>
        <w:t xml:space="preserve"> an avoidance scheme identified by HMRC’s published Spotlights list</w:t>
      </w:r>
      <w:r w:rsidRPr="00400489">
        <w:rPr>
          <w:rFonts w:eastAsia="Arial"/>
          <w:vertAlign w:val="superscript"/>
        </w:rPr>
        <w:footnoteReference w:id="7"/>
      </w:r>
      <w:r w:rsidRPr="00400489">
        <w:rPr>
          <w:rFonts w:eastAsia="Arial"/>
        </w:rPr>
        <w:t>;</w:t>
      </w:r>
    </w:p>
    <w:p w14:paraId="04432FFA" w14:textId="77777777" w:rsidR="006B0EB1" w:rsidRPr="00400489" w:rsidRDefault="00CA7CC2" w:rsidP="00624A99">
      <w:pPr>
        <w:numPr>
          <w:ilvl w:val="1"/>
          <w:numId w:val="4"/>
        </w:numPr>
        <w:pBdr>
          <w:top w:val="nil"/>
          <w:left w:val="nil"/>
          <w:bottom w:val="nil"/>
          <w:right w:val="nil"/>
          <w:between w:val="nil"/>
        </w:pBdr>
        <w:spacing w:before="120" w:after="120" w:line="240" w:lineRule="auto"/>
        <w:ind w:left="709" w:hanging="283"/>
        <w:rPr>
          <w:rFonts w:eastAsia="Arial"/>
        </w:rPr>
      </w:pPr>
      <w:r w:rsidRPr="00400489">
        <w:rPr>
          <w:rFonts w:eastAsia="Arial"/>
        </w:rPr>
        <w:t xml:space="preserve">Engaged in conduct which falls under rules in other jurisdictions which are equivalent or </w:t>
      </w:r>
      <w:proofErr w:type="gramStart"/>
      <w:r w:rsidRPr="00400489">
        <w:rPr>
          <w:rFonts w:eastAsia="Arial"/>
        </w:rPr>
        <w:t>similar to</w:t>
      </w:r>
      <w:proofErr w:type="gramEnd"/>
      <w:r w:rsidRPr="00400489">
        <w:rPr>
          <w:rFonts w:eastAsia="Arial"/>
        </w:rPr>
        <w:t xml:space="preserve"> (a) to (f) above.</w:t>
      </w:r>
    </w:p>
    <w:p w14:paraId="20943B46" w14:textId="77777777" w:rsidR="006B0EB1" w:rsidRPr="00400489" w:rsidRDefault="00CA7CC2" w:rsidP="00624A99">
      <w:pPr>
        <w:pBdr>
          <w:top w:val="nil"/>
          <w:left w:val="nil"/>
          <w:bottom w:val="nil"/>
          <w:right w:val="nil"/>
          <w:between w:val="nil"/>
        </w:pBdr>
        <w:spacing w:before="120" w:after="120" w:line="240" w:lineRule="auto"/>
        <w:rPr>
          <w:rFonts w:eastAsia="Arial"/>
        </w:rPr>
      </w:pPr>
      <w:r w:rsidRPr="00400489">
        <w:rPr>
          <w:rFonts w:eastAsia="Arial"/>
          <w:i/>
        </w:rPr>
        <w:t>Condition three (Arrangements are admitted, or subject to litigation/prosecution or identified in a published list (Spotlights))</w:t>
      </w:r>
    </w:p>
    <w:p w14:paraId="71C09E7F" w14:textId="7C925367" w:rsidR="006B0EB1" w:rsidRPr="00400489" w:rsidRDefault="00CA7CC2" w:rsidP="00624A99">
      <w:pPr>
        <w:numPr>
          <w:ilvl w:val="0"/>
          <w:numId w:val="7"/>
        </w:numPr>
        <w:pBdr>
          <w:top w:val="nil"/>
          <w:left w:val="nil"/>
          <w:bottom w:val="nil"/>
          <w:right w:val="nil"/>
          <w:between w:val="nil"/>
        </w:pBdr>
        <w:spacing w:before="120" w:after="120" w:line="240" w:lineRule="auto"/>
        <w:rPr>
          <w:rFonts w:eastAsia="Arial"/>
        </w:rPr>
      </w:pPr>
      <w:r w:rsidRPr="00400489">
        <w:rPr>
          <w:rFonts w:eastAsia="Arial"/>
        </w:rPr>
        <w:t xml:space="preserve">X’s activity in </w:t>
      </w:r>
      <w:r w:rsidRPr="00400489">
        <w:rPr>
          <w:rFonts w:eastAsia="Arial"/>
          <w:i/>
        </w:rPr>
        <w:t>Condition 2</w:t>
      </w:r>
      <w:r w:rsidRPr="00400489">
        <w:rPr>
          <w:rFonts w:eastAsia="Arial"/>
        </w:rPr>
        <w:t xml:space="preserve"> is, where applicable, subject to dispute and/or litigation as follows:</w:t>
      </w:r>
    </w:p>
    <w:p w14:paraId="058D58C3" w14:textId="77777777" w:rsidR="006B0EB1" w:rsidRPr="00400489" w:rsidRDefault="00CA7CC2" w:rsidP="00624A99">
      <w:pPr>
        <w:numPr>
          <w:ilvl w:val="1"/>
          <w:numId w:val="5"/>
        </w:numPr>
        <w:pBdr>
          <w:top w:val="nil"/>
          <w:left w:val="nil"/>
          <w:bottom w:val="nil"/>
          <w:right w:val="nil"/>
          <w:between w:val="nil"/>
        </w:pBdr>
        <w:spacing w:before="120" w:after="120" w:line="240" w:lineRule="auto"/>
        <w:ind w:left="709" w:hanging="283"/>
        <w:rPr>
          <w:rFonts w:eastAsia="Arial"/>
        </w:rPr>
      </w:pPr>
      <w:r w:rsidRPr="00400489">
        <w:rPr>
          <w:rFonts w:eastAsia="Arial"/>
        </w:rPr>
        <w:t>In respect of (a), either X:</w:t>
      </w:r>
    </w:p>
    <w:p w14:paraId="1A92F69A" w14:textId="77777777" w:rsidR="006B0EB1" w:rsidRPr="00400489" w:rsidRDefault="00CA7CC2" w:rsidP="00624A99">
      <w:pPr>
        <w:numPr>
          <w:ilvl w:val="2"/>
          <w:numId w:val="5"/>
        </w:numPr>
        <w:pBdr>
          <w:top w:val="nil"/>
          <w:left w:val="nil"/>
          <w:bottom w:val="nil"/>
          <w:right w:val="nil"/>
          <w:between w:val="nil"/>
        </w:pBdr>
        <w:spacing w:before="120" w:after="120" w:line="240" w:lineRule="auto"/>
        <w:ind w:left="1418" w:hanging="425"/>
        <w:rPr>
          <w:rFonts w:eastAsia="Arial"/>
        </w:rPr>
      </w:pPr>
      <w:r w:rsidRPr="00400489">
        <w:rPr>
          <w:rFonts w:eastAsia="Arial"/>
        </w:rPr>
        <w:t>Has accepted the terms of an offer made under a Contractual Disclosure Facility (CDF) pursuant to the Code of Practice 9 (COP9) procedure</w:t>
      </w:r>
      <w:r w:rsidRPr="00400489">
        <w:rPr>
          <w:rFonts w:eastAsia="Arial"/>
          <w:vertAlign w:val="superscript"/>
        </w:rPr>
        <w:footnoteReference w:id="8"/>
      </w:r>
      <w:r w:rsidRPr="00400489">
        <w:rPr>
          <w:rFonts w:eastAsia="Arial"/>
        </w:rPr>
        <w:t>; or,</w:t>
      </w:r>
    </w:p>
    <w:p w14:paraId="2E458ACB" w14:textId="77777777" w:rsidR="006B0EB1" w:rsidRPr="00400489" w:rsidRDefault="00CA7CC2" w:rsidP="00624A99">
      <w:pPr>
        <w:numPr>
          <w:ilvl w:val="2"/>
          <w:numId w:val="5"/>
        </w:numPr>
        <w:pBdr>
          <w:top w:val="nil"/>
          <w:left w:val="nil"/>
          <w:bottom w:val="nil"/>
          <w:right w:val="nil"/>
          <w:between w:val="nil"/>
        </w:pBdr>
        <w:spacing w:before="120" w:after="120" w:line="240" w:lineRule="auto"/>
        <w:ind w:left="1418" w:hanging="425"/>
        <w:rPr>
          <w:rFonts w:eastAsia="Arial"/>
        </w:rPr>
      </w:pPr>
      <w:r w:rsidRPr="00400489">
        <w:rPr>
          <w:rFonts w:eastAsia="Arial"/>
        </w:rPr>
        <w:t xml:space="preserve">Has been charged with an offence of fraudulent evasion. </w:t>
      </w:r>
    </w:p>
    <w:p w14:paraId="3CEA6AA8" w14:textId="77777777" w:rsidR="006B0EB1" w:rsidRPr="00400489" w:rsidRDefault="00CA7CC2" w:rsidP="00624A99">
      <w:pPr>
        <w:numPr>
          <w:ilvl w:val="1"/>
          <w:numId w:val="5"/>
        </w:numPr>
        <w:pBdr>
          <w:top w:val="nil"/>
          <w:left w:val="nil"/>
          <w:bottom w:val="nil"/>
          <w:right w:val="nil"/>
          <w:between w:val="nil"/>
        </w:pBdr>
        <w:spacing w:before="120" w:after="120" w:line="240" w:lineRule="auto"/>
        <w:ind w:left="709" w:hanging="283"/>
        <w:rPr>
          <w:rFonts w:eastAsia="Arial"/>
        </w:rPr>
      </w:pPr>
      <w:r w:rsidRPr="00400489">
        <w:rPr>
          <w:rFonts w:eastAsia="Arial"/>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400489">
        <w:rPr>
          <w:rFonts w:eastAsia="Arial"/>
        </w:rPr>
        <w:t>process</w:t>
      </w:r>
      <w:proofErr w:type="gramEnd"/>
      <w:r w:rsidRPr="00400489">
        <w:rPr>
          <w:rFonts w:eastAsia="Arial"/>
        </w:rPr>
        <w:t xml:space="preserve"> and no supplier would be excluded merely because they are applying for judicial review of an HMRC or HMT decision relating to tax or national insurance.</w:t>
      </w:r>
    </w:p>
    <w:p w14:paraId="080A91DE" w14:textId="77777777" w:rsidR="006B0EB1" w:rsidRPr="00400489" w:rsidRDefault="00CA7CC2" w:rsidP="00624A99">
      <w:pPr>
        <w:numPr>
          <w:ilvl w:val="1"/>
          <w:numId w:val="5"/>
        </w:numPr>
        <w:pBdr>
          <w:top w:val="nil"/>
          <w:left w:val="nil"/>
          <w:bottom w:val="nil"/>
          <w:right w:val="nil"/>
          <w:between w:val="nil"/>
        </w:pBdr>
        <w:spacing w:before="120" w:after="120" w:line="240" w:lineRule="auto"/>
        <w:ind w:left="709" w:hanging="283"/>
        <w:rPr>
          <w:rFonts w:eastAsia="Arial"/>
        </w:rPr>
      </w:pPr>
      <w:r w:rsidRPr="00400489">
        <w:rPr>
          <w:rFonts w:eastAsia="Arial"/>
        </w:rPr>
        <w:t xml:space="preserve">In respect of (b) to (e), during an HMRC enquiry, if it has been agreed between HMRC and X that there is a pause with the enquiry </w:t>
      </w:r>
      <w:proofErr w:type="gramStart"/>
      <w:r w:rsidRPr="00400489">
        <w:rPr>
          <w:rFonts w:eastAsia="Arial"/>
        </w:rPr>
        <w:t>in order to</w:t>
      </w:r>
      <w:proofErr w:type="gramEnd"/>
      <w:r w:rsidRPr="00400489">
        <w:rPr>
          <w:rFonts w:eastAsia="Arial"/>
        </w:rPr>
        <w:t xml:space="preserve"> await the outcome of related litigation.</w:t>
      </w:r>
    </w:p>
    <w:p w14:paraId="188A952B" w14:textId="77777777" w:rsidR="006B0EB1" w:rsidRPr="00400489" w:rsidRDefault="00CA7CC2" w:rsidP="00624A99">
      <w:pPr>
        <w:numPr>
          <w:ilvl w:val="1"/>
          <w:numId w:val="5"/>
        </w:numPr>
        <w:pBdr>
          <w:top w:val="nil"/>
          <w:left w:val="nil"/>
          <w:bottom w:val="nil"/>
          <w:right w:val="nil"/>
          <w:between w:val="nil"/>
        </w:pBdr>
        <w:spacing w:before="120" w:after="120" w:line="240" w:lineRule="auto"/>
        <w:ind w:left="709" w:hanging="283"/>
        <w:rPr>
          <w:rFonts w:eastAsia="Arial"/>
        </w:rPr>
      </w:pPr>
      <w:r w:rsidRPr="00400489">
        <w:rPr>
          <w:rFonts w:eastAsia="Arial"/>
        </w:rPr>
        <w:t>In respect of (f) this condition is satisfied without any further steps being taken.</w:t>
      </w:r>
    </w:p>
    <w:p w14:paraId="178949D9" w14:textId="77777777" w:rsidR="006B0EB1" w:rsidRPr="00400489" w:rsidRDefault="00CA7CC2" w:rsidP="00624A99">
      <w:pPr>
        <w:numPr>
          <w:ilvl w:val="1"/>
          <w:numId w:val="5"/>
        </w:numPr>
        <w:pBdr>
          <w:top w:val="nil"/>
          <w:left w:val="nil"/>
          <w:bottom w:val="nil"/>
          <w:right w:val="nil"/>
          <w:between w:val="nil"/>
        </w:pBdr>
        <w:spacing w:before="120" w:after="120" w:line="240" w:lineRule="auto"/>
        <w:ind w:left="709" w:hanging="283"/>
        <w:rPr>
          <w:rFonts w:eastAsia="Arial"/>
        </w:rPr>
      </w:pPr>
      <w:r w:rsidRPr="00400489">
        <w:rPr>
          <w:rFonts w:eastAsia="Arial"/>
        </w:rPr>
        <w:t>In respect of (g) the foreign equivalent to each of the corresponding steps set out above in (</w:t>
      </w:r>
      <w:proofErr w:type="spellStart"/>
      <w:r w:rsidRPr="00400489">
        <w:rPr>
          <w:rFonts w:eastAsia="Arial"/>
        </w:rPr>
        <w:t>i</w:t>
      </w:r>
      <w:proofErr w:type="spellEnd"/>
      <w:r w:rsidRPr="00400489">
        <w:rPr>
          <w:rFonts w:eastAsia="Arial"/>
        </w:rPr>
        <w:t>) to (iii).</w:t>
      </w:r>
    </w:p>
    <w:p w14:paraId="08E2B84B" w14:textId="77777777" w:rsidR="006B0EB1" w:rsidRPr="00400489" w:rsidRDefault="00CA7CC2" w:rsidP="00624A99">
      <w:pPr>
        <w:pBdr>
          <w:top w:val="nil"/>
          <w:left w:val="nil"/>
          <w:bottom w:val="nil"/>
          <w:right w:val="nil"/>
          <w:between w:val="nil"/>
        </w:pBdr>
        <w:spacing w:before="120" w:after="120" w:line="240" w:lineRule="auto"/>
        <w:rPr>
          <w:rFonts w:eastAsia="Arial"/>
        </w:rPr>
      </w:pPr>
      <w:r w:rsidRPr="00400489">
        <w:rPr>
          <w:rFonts w:eastAsia="Arial"/>
        </w:rPr>
        <w:t> </w:t>
      </w:r>
    </w:p>
    <w:p w14:paraId="7CC4BA08" w14:textId="77777777" w:rsidR="006B0EB1" w:rsidRPr="00400489" w:rsidRDefault="00CA7CC2" w:rsidP="00624A99">
      <w:pPr>
        <w:pStyle w:val="Heading3"/>
        <w:keepNext w:val="0"/>
        <w:keepLines w:val="0"/>
        <w:spacing w:before="120" w:after="120" w:line="240" w:lineRule="auto"/>
        <w:rPr>
          <w:rFonts w:ascii="Arial" w:eastAsia="Arial" w:hAnsi="Arial" w:cs="Arial"/>
          <w:color w:val="000000"/>
        </w:rPr>
      </w:pPr>
      <w:r w:rsidRPr="00400489">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14:paraId="2221CC3B" w14:textId="77777777" w:rsidR="006B0EB1" w:rsidRPr="00400489" w:rsidRDefault="00CA7CC2" w:rsidP="00624A99">
      <w:pPr>
        <w:spacing w:before="120" w:after="120" w:line="240" w:lineRule="auto"/>
        <w:rPr>
          <w:rFonts w:eastAsia="Arial"/>
        </w:rPr>
      </w:pPr>
      <w:r w:rsidRPr="00400489">
        <w:br w:type="page"/>
      </w:r>
    </w:p>
    <w:p w14:paraId="05A4A8B6" w14:textId="77777777" w:rsidR="006B0EB1" w:rsidRPr="00400489" w:rsidRDefault="00CA7CC2" w:rsidP="00624A99">
      <w:pPr>
        <w:spacing w:before="120" w:after="120" w:line="240" w:lineRule="auto"/>
        <w:rPr>
          <w:rFonts w:eastAsia="Arial"/>
          <w:b/>
        </w:rPr>
      </w:pPr>
      <w:r w:rsidRPr="00400489">
        <w:rPr>
          <w:rFonts w:eastAsia="Arial"/>
          <w:b/>
        </w:rPr>
        <w:lastRenderedPageBreak/>
        <w:t xml:space="preserve">Annex 2 Form </w:t>
      </w:r>
    </w:p>
    <w:p w14:paraId="18E90737" w14:textId="77777777" w:rsidR="006B0EB1" w:rsidRPr="00400489" w:rsidRDefault="00CA7CC2" w:rsidP="00624A99">
      <w:pPr>
        <w:spacing w:before="120" w:after="120" w:line="240" w:lineRule="auto"/>
        <w:rPr>
          <w:rFonts w:eastAsia="Arial"/>
          <w:b/>
        </w:rPr>
      </w:pPr>
      <w:r w:rsidRPr="00400489">
        <w:rPr>
          <w:rFonts w:eastAsia="Arial"/>
          <w:b/>
        </w:rPr>
        <w:t xml:space="preserve">CONFIDENTIALITY DECLARATION </w:t>
      </w:r>
    </w:p>
    <w:p w14:paraId="3EC68C31" w14:textId="77777777" w:rsidR="006B0EB1" w:rsidRPr="00400489" w:rsidRDefault="00CA7CC2" w:rsidP="00624A99">
      <w:pPr>
        <w:spacing w:before="120" w:after="120" w:line="240" w:lineRule="auto"/>
        <w:rPr>
          <w:rFonts w:eastAsia="Arial"/>
        </w:rPr>
      </w:pPr>
      <w:r w:rsidRPr="00400489">
        <w:rPr>
          <w:rFonts w:eastAsia="Arial"/>
        </w:rPr>
        <w:t>CONTRACT REFERENCE: [</w:t>
      </w:r>
      <w:r w:rsidRPr="00400489">
        <w:rPr>
          <w:rFonts w:eastAsia="Arial"/>
          <w:highlight w:val="yellow"/>
        </w:rPr>
        <w:t>for Supplier to insert Contract reference number and contract date</w:t>
      </w:r>
      <w:r w:rsidRPr="00400489">
        <w:rPr>
          <w:rFonts w:eastAsia="Arial"/>
        </w:rPr>
        <w:t>] ((‘the Agreement’)</w:t>
      </w:r>
    </w:p>
    <w:p w14:paraId="61FD0B04" w14:textId="77777777" w:rsidR="006B0EB1" w:rsidRPr="00400489" w:rsidRDefault="00CA7CC2" w:rsidP="00624A99">
      <w:pPr>
        <w:spacing w:before="120" w:after="120" w:line="240" w:lineRule="auto"/>
        <w:rPr>
          <w:rFonts w:eastAsia="Arial"/>
        </w:rPr>
      </w:pPr>
      <w:r w:rsidRPr="00400489">
        <w:rPr>
          <w:rFonts w:eastAsia="Arial"/>
        </w:rPr>
        <w:t>DECLARATION:</w:t>
      </w:r>
    </w:p>
    <w:p w14:paraId="439C82C7" w14:textId="77777777" w:rsidR="006B0EB1" w:rsidRPr="00400489" w:rsidRDefault="00CA7CC2" w:rsidP="00624A99">
      <w:pPr>
        <w:spacing w:before="120" w:after="120" w:line="240" w:lineRule="auto"/>
        <w:rPr>
          <w:rFonts w:eastAsia="Arial"/>
        </w:rPr>
      </w:pPr>
      <w:r w:rsidRPr="00400489">
        <w:rPr>
          <w:rFonts w:eastAsia="Arial"/>
        </w:rPr>
        <w:t xml:space="preserve">I solemnly declare that: </w:t>
      </w:r>
    </w:p>
    <w:p w14:paraId="6651DC77" w14:textId="77777777" w:rsidR="006B0EB1" w:rsidRPr="00400489" w:rsidRDefault="00CA7CC2" w:rsidP="00624A99">
      <w:pPr>
        <w:numPr>
          <w:ilvl w:val="0"/>
          <w:numId w:val="3"/>
        </w:numPr>
        <w:pBdr>
          <w:top w:val="nil"/>
          <w:left w:val="nil"/>
          <w:bottom w:val="nil"/>
          <w:right w:val="nil"/>
          <w:between w:val="nil"/>
        </w:pBdr>
        <w:spacing w:before="120" w:after="120" w:line="240" w:lineRule="auto"/>
        <w:ind w:left="426" w:hanging="426"/>
        <w:rPr>
          <w:rFonts w:eastAsia="Arial"/>
        </w:rPr>
      </w:pPr>
      <w:r w:rsidRPr="00400489">
        <w:rPr>
          <w:rFonts w:eastAsia="Arial"/>
        </w:rPr>
        <w:t>I am aware that the duty of confidentiality imposed by section 18 of the Commissioners for Revenue and Customs Act 2005 applies to Government Data (as defined in the Agreement) that has been or will be provided to me in accordance with the Agreement.</w:t>
      </w:r>
    </w:p>
    <w:p w14:paraId="6D83A8B4" w14:textId="77777777" w:rsidR="006B0EB1" w:rsidRPr="00400489" w:rsidRDefault="00CA7CC2" w:rsidP="00624A99">
      <w:pPr>
        <w:numPr>
          <w:ilvl w:val="0"/>
          <w:numId w:val="3"/>
        </w:numPr>
        <w:pBdr>
          <w:top w:val="nil"/>
          <w:left w:val="nil"/>
          <w:bottom w:val="nil"/>
          <w:right w:val="nil"/>
          <w:between w:val="nil"/>
        </w:pBdr>
        <w:spacing w:before="120" w:after="120" w:line="240" w:lineRule="auto"/>
        <w:ind w:left="426" w:hanging="426"/>
        <w:rPr>
          <w:rFonts w:eastAsia="Arial"/>
        </w:rPr>
      </w:pPr>
      <w:r w:rsidRPr="00400489">
        <w:rPr>
          <w:rFonts w:eastAsia="Arial"/>
        </w:rPr>
        <w:t xml:space="preserve">I understand and acknowledge that under Section 19 of the Commissioners for Revenue and Customs Act 2005 it may be a criminal offence to disclose any Government Data provided to me. </w:t>
      </w:r>
    </w:p>
    <w:p w14:paraId="6EEBFBAC" w14:textId="77777777" w:rsidR="006B0EB1" w:rsidRPr="00400489" w:rsidRDefault="006B0EB1" w:rsidP="00624A99">
      <w:pPr>
        <w:pBdr>
          <w:top w:val="nil"/>
          <w:left w:val="nil"/>
          <w:bottom w:val="nil"/>
          <w:right w:val="nil"/>
          <w:between w:val="nil"/>
        </w:pBdr>
        <w:spacing w:before="120" w:after="120" w:line="240" w:lineRule="auto"/>
        <w:ind w:left="426"/>
        <w:rPr>
          <w:rFonts w:eastAsia="Arial"/>
        </w:rPr>
      </w:pPr>
    </w:p>
    <w:tbl>
      <w:tblPr>
        <w:tblStyle w:val="a0"/>
        <w:tblW w:w="5670"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6B0EB1" w:rsidRPr="00400489" w14:paraId="4AFC57EE" w14:textId="77777777">
        <w:tc>
          <w:tcPr>
            <w:tcW w:w="5670" w:type="dxa"/>
          </w:tcPr>
          <w:p w14:paraId="6E22E01B" w14:textId="77777777" w:rsidR="006B0EB1" w:rsidRPr="00400489" w:rsidRDefault="00CA7CC2" w:rsidP="00624A99">
            <w:pPr>
              <w:spacing w:before="120" w:after="120"/>
              <w:rPr>
                <w:rFonts w:eastAsia="Arial"/>
              </w:rPr>
            </w:pPr>
            <w:r w:rsidRPr="00400489">
              <w:rPr>
                <w:rFonts w:eastAsia="Arial"/>
              </w:rPr>
              <w:t>SIGNED:</w:t>
            </w:r>
          </w:p>
        </w:tc>
      </w:tr>
      <w:tr w:rsidR="006B0EB1" w:rsidRPr="00400489" w14:paraId="454C9767" w14:textId="77777777">
        <w:tc>
          <w:tcPr>
            <w:tcW w:w="5670" w:type="dxa"/>
          </w:tcPr>
          <w:p w14:paraId="4DC6237F" w14:textId="77777777" w:rsidR="006B0EB1" w:rsidRPr="00400489" w:rsidRDefault="00CA7CC2" w:rsidP="00624A99">
            <w:pPr>
              <w:spacing w:before="120" w:after="120"/>
              <w:rPr>
                <w:rFonts w:eastAsia="Arial"/>
              </w:rPr>
            </w:pPr>
            <w:r w:rsidRPr="00400489">
              <w:rPr>
                <w:rFonts w:eastAsia="Arial"/>
              </w:rPr>
              <w:t>FULL NAME:</w:t>
            </w:r>
          </w:p>
        </w:tc>
      </w:tr>
      <w:tr w:rsidR="006B0EB1" w:rsidRPr="00400489" w14:paraId="44A88B76" w14:textId="77777777">
        <w:tc>
          <w:tcPr>
            <w:tcW w:w="5670" w:type="dxa"/>
          </w:tcPr>
          <w:p w14:paraId="26592336" w14:textId="77777777" w:rsidR="006B0EB1" w:rsidRPr="00400489" w:rsidRDefault="00CA7CC2" w:rsidP="00624A99">
            <w:pPr>
              <w:spacing w:before="120" w:after="120"/>
              <w:rPr>
                <w:rFonts w:eastAsia="Arial"/>
              </w:rPr>
            </w:pPr>
            <w:r w:rsidRPr="00400489">
              <w:rPr>
                <w:rFonts w:eastAsia="Arial"/>
              </w:rPr>
              <w:t>POSITION:</w:t>
            </w:r>
          </w:p>
        </w:tc>
      </w:tr>
      <w:tr w:rsidR="006B0EB1" w:rsidRPr="00400489" w14:paraId="06781E0E" w14:textId="77777777">
        <w:tc>
          <w:tcPr>
            <w:tcW w:w="5670" w:type="dxa"/>
          </w:tcPr>
          <w:p w14:paraId="10FAF43A" w14:textId="77777777" w:rsidR="006B0EB1" w:rsidRPr="00400489" w:rsidRDefault="00CA7CC2" w:rsidP="00624A99">
            <w:pPr>
              <w:spacing w:before="120" w:after="120"/>
              <w:rPr>
                <w:rFonts w:eastAsia="Arial"/>
              </w:rPr>
            </w:pPr>
            <w:r w:rsidRPr="00400489">
              <w:rPr>
                <w:rFonts w:eastAsia="Arial"/>
              </w:rPr>
              <w:t xml:space="preserve">COMPANY: </w:t>
            </w:r>
          </w:p>
        </w:tc>
      </w:tr>
      <w:tr w:rsidR="006B0EB1" w:rsidRPr="00400489" w14:paraId="45C7556A" w14:textId="77777777">
        <w:tc>
          <w:tcPr>
            <w:tcW w:w="5670" w:type="dxa"/>
          </w:tcPr>
          <w:p w14:paraId="4925AF6A" w14:textId="77777777" w:rsidR="006B0EB1" w:rsidRPr="00400489" w:rsidRDefault="00CA7CC2" w:rsidP="00624A99">
            <w:pPr>
              <w:spacing w:before="120" w:after="120"/>
              <w:rPr>
                <w:rFonts w:eastAsia="Arial"/>
              </w:rPr>
            </w:pPr>
            <w:r w:rsidRPr="00400489">
              <w:rPr>
                <w:rFonts w:eastAsia="Arial"/>
              </w:rPr>
              <w:t xml:space="preserve">DATE OF SIGNITURE: </w:t>
            </w:r>
          </w:p>
        </w:tc>
      </w:tr>
    </w:tbl>
    <w:p w14:paraId="0B24B088" w14:textId="77777777" w:rsidR="006B0EB1" w:rsidRDefault="006B0EB1" w:rsidP="00624A99">
      <w:pPr>
        <w:spacing w:before="120" w:after="120" w:line="240" w:lineRule="auto"/>
        <w:rPr>
          <w:rFonts w:eastAsia="Arial"/>
        </w:rPr>
      </w:pPr>
    </w:p>
    <w:p w14:paraId="19950FE6" w14:textId="77777777" w:rsidR="006B0EB1" w:rsidRDefault="006B0EB1" w:rsidP="00624A99">
      <w:pPr>
        <w:spacing w:before="120" w:after="120" w:line="240" w:lineRule="auto"/>
        <w:rPr>
          <w:rFonts w:eastAsia="Arial"/>
        </w:rPr>
      </w:pPr>
    </w:p>
    <w:p w14:paraId="068FB0C4" w14:textId="77777777" w:rsidR="006B0EB1" w:rsidRDefault="006B0EB1" w:rsidP="00624A99">
      <w:pPr>
        <w:spacing w:before="120" w:after="120" w:line="240" w:lineRule="auto"/>
        <w:rPr>
          <w:rFonts w:eastAsia="Arial"/>
        </w:rPr>
      </w:pPr>
    </w:p>
    <w:p w14:paraId="517D0A3F" w14:textId="77777777" w:rsidR="006B0EB1" w:rsidRDefault="006B0EB1" w:rsidP="00624A99">
      <w:pPr>
        <w:spacing w:before="120" w:after="120" w:line="240" w:lineRule="auto"/>
      </w:pPr>
    </w:p>
    <w:sectPr w:rsidR="006B0EB1" w:rsidSect="008033D1">
      <w:headerReference w:type="default" r:id="rId8"/>
      <w:footerReference w:type="default" r:id="rId9"/>
      <w:pgSz w:w="11906" w:h="16838"/>
      <w:pgMar w:top="1440" w:right="1440" w:bottom="1440" w:left="144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58BB" w14:textId="77777777" w:rsidR="004243D5" w:rsidRDefault="004243D5">
      <w:pPr>
        <w:spacing w:after="0" w:line="240" w:lineRule="auto"/>
      </w:pPr>
      <w:r>
        <w:separator/>
      </w:r>
    </w:p>
  </w:endnote>
  <w:endnote w:type="continuationSeparator" w:id="0">
    <w:p w14:paraId="08CADD19" w14:textId="77777777" w:rsidR="004243D5" w:rsidRDefault="00424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6BB6" w14:textId="77777777" w:rsidR="00400489" w:rsidRDefault="00400489" w:rsidP="00400489">
    <w:pPr>
      <w:tabs>
        <w:tab w:val="center" w:pos="4513"/>
        <w:tab w:val="right" w:pos="9026"/>
      </w:tabs>
      <w:spacing w:after="0" w:line="240" w:lineRule="auto"/>
      <w:rPr>
        <w:rFonts w:eastAsia="Arial"/>
        <w:sz w:val="20"/>
        <w:szCs w:val="20"/>
      </w:rPr>
    </w:pPr>
  </w:p>
  <w:p w14:paraId="33065DCB" w14:textId="20783E69" w:rsidR="00400489" w:rsidRDefault="00400489" w:rsidP="00400489">
    <w:pPr>
      <w:tabs>
        <w:tab w:val="center" w:pos="4513"/>
        <w:tab w:val="right" w:pos="9026"/>
      </w:tabs>
      <w:spacing w:after="0" w:line="240" w:lineRule="auto"/>
      <w:rPr>
        <w:rFonts w:eastAsia="Arial"/>
        <w:sz w:val="20"/>
        <w:szCs w:val="20"/>
      </w:rPr>
    </w:pPr>
    <w:r>
      <w:rPr>
        <w:rFonts w:eastAsia="Arial"/>
        <w:sz w:val="20"/>
        <w:szCs w:val="20"/>
      </w:rPr>
      <w:t>Framework Ref: RM</w:t>
    </w:r>
    <w:r w:rsidR="005A132A">
      <w:rPr>
        <w:rFonts w:eastAsia="Arial"/>
        <w:sz w:val="20"/>
        <w:szCs w:val="20"/>
      </w:rPr>
      <w:t>6364</w:t>
    </w:r>
    <w:r>
      <w:rPr>
        <w:rFonts w:eastAsia="Arial"/>
        <w:sz w:val="20"/>
        <w:szCs w:val="20"/>
      </w:rPr>
      <w:tab/>
      <w:t xml:space="preserve">                                           </w:t>
    </w:r>
  </w:p>
  <w:p w14:paraId="16490539" w14:textId="3FFF0AE6" w:rsidR="00400489" w:rsidRDefault="00400489" w:rsidP="00400489">
    <w:pPr>
      <w:tabs>
        <w:tab w:val="center" w:pos="4513"/>
        <w:tab w:val="right" w:pos="9026"/>
      </w:tabs>
      <w:spacing w:after="0" w:line="240" w:lineRule="auto"/>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930599">
      <w:rPr>
        <w:rFonts w:eastAsia="Arial"/>
        <w:noProof/>
        <w:sz w:val="20"/>
        <w:szCs w:val="20"/>
      </w:rPr>
      <w:t>1</w:t>
    </w:r>
    <w:r>
      <w:rPr>
        <w:rFonts w:eastAsia="Arial"/>
        <w:sz w:val="20"/>
        <w:szCs w:val="20"/>
      </w:rPr>
      <w:fldChar w:fldCharType="end"/>
    </w:r>
  </w:p>
  <w:p w14:paraId="4009B2A2" w14:textId="365201B5" w:rsidR="004243D5" w:rsidRDefault="00400489" w:rsidP="00400489">
    <w:pPr>
      <w:spacing w:after="0" w:line="240" w:lineRule="auto"/>
      <w:jc w:val="both"/>
      <w:rPr>
        <w:rFonts w:eastAsia="Arial"/>
        <w:sz w:val="20"/>
        <w:szCs w:val="20"/>
      </w:rPr>
    </w:pPr>
    <w:r>
      <w:rPr>
        <w:rFonts w:eastAsia="Arial"/>
        <w:sz w:val="20"/>
        <w:szCs w:val="20"/>
      </w:rPr>
      <w:tab/>
    </w:r>
  </w:p>
  <w:p w14:paraId="29A91C7A" w14:textId="6D7B8253" w:rsidR="008033D1" w:rsidRPr="00400489" w:rsidRDefault="008033D1" w:rsidP="008033D1">
    <w:pPr>
      <w:spacing w:after="0" w:line="240" w:lineRule="auto"/>
      <w:jc w:val="right"/>
      <w:rPr>
        <w:rFonts w:eastAsia="Arial"/>
        <w:sz w:val="14"/>
        <w:szCs w:val="20"/>
      </w:rPr>
    </w:pPr>
    <w:r>
      <w:rPr>
        <w:rFonts w:eastAsia="Arial"/>
        <w:sz w:val="14"/>
        <w:szCs w:val="20"/>
      </w:rPr>
      <w:fldChar w:fldCharType="begin"/>
    </w:r>
    <w:r>
      <w:rPr>
        <w:rFonts w:eastAsia="Arial"/>
        <w:sz w:val="14"/>
        <w:szCs w:val="20"/>
      </w:rPr>
      <w:instrText xml:space="preserve"> DOCPROPERTY iManageFooter \* MERGEFORMAT </w:instrText>
    </w:r>
    <w:r>
      <w:rPr>
        <w:rFonts w:eastAsia="Arial"/>
        <w:sz w:val="14"/>
        <w:szCs w:val="20"/>
      </w:rPr>
      <w:fldChar w:fldCharType="separate"/>
    </w:r>
    <w:r w:rsidR="0049715B" w:rsidRPr="0049715B">
      <w:rPr>
        <w:rFonts w:eastAsia="Arial"/>
        <w:sz w:val="16"/>
        <w:szCs w:val="20"/>
      </w:rPr>
      <w:t>73941919v1</w:t>
    </w:r>
    <w:r>
      <w:rPr>
        <w:rFonts w:eastAsia="Arial"/>
        <w:sz w:val="1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B82F" w14:textId="77777777" w:rsidR="004243D5" w:rsidRDefault="004243D5">
      <w:pPr>
        <w:spacing w:after="0" w:line="240" w:lineRule="auto"/>
      </w:pPr>
      <w:r>
        <w:separator/>
      </w:r>
    </w:p>
  </w:footnote>
  <w:footnote w:type="continuationSeparator" w:id="0">
    <w:p w14:paraId="35A4B9EB" w14:textId="77777777" w:rsidR="004243D5" w:rsidRDefault="004243D5">
      <w:pPr>
        <w:spacing w:after="0" w:line="240" w:lineRule="auto"/>
      </w:pPr>
      <w:r>
        <w:continuationSeparator/>
      </w:r>
    </w:p>
  </w:footnote>
  <w:footnote w:id="1">
    <w:p w14:paraId="0B7D33DB" w14:textId="77777777" w:rsidR="004243D5" w:rsidRPr="00400489" w:rsidRDefault="004243D5">
      <w:pPr>
        <w:pBdr>
          <w:top w:val="nil"/>
          <w:left w:val="nil"/>
          <w:bottom w:val="nil"/>
          <w:right w:val="nil"/>
          <w:between w:val="nil"/>
        </w:pBdr>
        <w:spacing w:after="0" w:line="240" w:lineRule="auto"/>
        <w:rPr>
          <w:sz w:val="20"/>
          <w:szCs w:val="20"/>
        </w:rPr>
      </w:pPr>
      <w:r w:rsidRPr="00400489">
        <w:rPr>
          <w:rStyle w:val="FootnoteReference"/>
        </w:rPr>
        <w:footnoteRef/>
      </w:r>
      <w:r w:rsidRPr="00400489">
        <w:rPr>
          <w:sz w:val="20"/>
          <w:szCs w:val="20"/>
        </w:rPr>
        <w:t xml:space="preserve"> </w:t>
      </w:r>
      <w:hyperlink r:id="rId1">
        <w:r w:rsidRPr="00400489">
          <w:rPr>
            <w:color w:val="0000FF"/>
            <w:sz w:val="20"/>
            <w:szCs w:val="20"/>
            <w:u w:val="single"/>
          </w:rPr>
          <w:t>https://www.iasplus.com/en/standards/ifrs/ifrs10</w:t>
        </w:r>
      </w:hyperlink>
      <w:r w:rsidRPr="00400489">
        <w:rPr>
          <w:sz w:val="20"/>
          <w:szCs w:val="20"/>
        </w:rPr>
        <w:t xml:space="preserve"> </w:t>
      </w:r>
    </w:p>
  </w:footnote>
  <w:footnote w:id="2">
    <w:p w14:paraId="5D3B16F9" w14:textId="77777777" w:rsidR="004243D5" w:rsidRPr="00400489" w:rsidRDefault="004243D5">
      <w:pPr>
        <w:pBdr>
          <w:top w:val="nil"/>
          <w:left w:val="nil"/>
          <w:bottom w:val="nil"/>
          <w:right w:val="nil"/>
          <w:between w:val="nil"/>
        </w:pBdr>
        <w:spacing w:after="0" w:line="240" w:lineRule="auto"/>
        <w:rPr>
          <w:sz w:val="20"/>
          <w:szCs w:val="20"/>
        </w:rPr>
      </w:pPr>
      <w:r w:rsidRPr="00400489">
        <w:rPr>
          <w:rStyle w:val="FootnoteReference"/>
        </w:rPr>
        <w:footnoteRef/>
      </w:r>
      <w:r w:rsidRPr="00400489">
        <w:rPr>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3EED340F" w14:textId="77777777" w:rsidR="004243D5" w:rsidRPr="00400489" w:rsidRDefault="004243D5">
      <w:pPr>
        <w:pBdr>
          <w:top w:val="nil"/>
          <w:left w:val="nil"/>
          <w:bottom w:val="nil"/>
          <w:right w:val="nil"/>
          <w:between w:val="nil"/>
        </w:pBdr>
        <w:spacing w:after="0" w:line="240" w:lineRule="auto"/>
        <w:jc w:val="both"/>
        <w:rPr>
          <w:sz w:val="20"/>
          <w:szCs w:val="20"/>
        </w:rPr>
      </w:pPr>
      <w:r w:rsidRPr="00400489">
        <w:rPr>
          <w:rStyle w:val="FootnoteReference"/>
        </w:rPr>
        <w:footnoteRef/>
      </w:r>
      <w:r w:rsidRPr="00400489">
        <w:rPr>
          <w:sz w:val="20"/>
          <w:szCs w:val="20"/>
        </w:rPr>
        <w:t xml:space="preserve"> “General Anti-Abuse Rule” means (a) the legislation in Part 5 of the Finance Act 2013; and (b) any</w:t>
      </w:r>
    </w:p>
    <w:p w14:paraId="2CF308FB" w14:textId="77777777" w:rsidR="004243D5" w:rsidRPr="00400489" w:rsidRDefault="004243D5">
      <w:pPr>
        <w:pBdr>
          <w:top w:val="nil"/>
          <w:left w:val="nil"/>
          <w:bottom w:val="nil"/>
          <w:right w:val="nil"/>
          <w:between w:val="nil"/>
        </w:pBdr>
        <w:spacing w:after="0" w:line="240" w:lineRule="auto"/>
        <w:jc w:val="both"/>
        <w:rPr>
          <w:sz w:val="20"/>
          <w:szCs w:val="20"/>
        </w:rPr>
      </w:pPr>
      <w:r w:rsidRPr="00400489">
        <w:rPr>
          <w:sz w:val="20"/>
          <w:szCs w:val="20"/>
        </w:rPr>
        <w:t>future legislation introduced into Parliament to counteract tax advantages arising from abusive</w:t>
      </w:r>
    </w:p>
    <w:p w14:paraId="02AC3D62" w14:textId="77777777" w:rsidR="004243D5" w:rsidRPr="00400489" w:rsidRDefault="004243D5">
      <w:pPr>
        <w:pBdr>
          <w:top w:val="nil"/>
          <w:left w:val="nil"/>
          <w:bottom w:val="nil"/>
          <w:right w:val="nil"/>
          <w:between w:val="nil"/>
        </w:pBdr>
        <w:spacing w:after="0" w:line="240" w:lineRule="auto"/>
        <w:rPr>
          <w:sz w:val="20"/>
          <w:szCs w:val="20"/>
        </w:rPr>
      </w:pPr>
      <w:r w:rsidRPr="00400489">
        <w:rPr>
          <w:sz w:val="20"/>
          <w:szCs w:val="20"/>
        </w:rPr>
        <w:t>arrangements to avoid national insurance contributions</w:t>
      </w:r>
    </w:p>
  </w:footnote>
  <w:footnote w:id="4">
    <w:p w14:paraId="24BB94EC" w14:textId="77777777" w:rsidR="004243D5" w:rsidRPr="00400489" w:rsidRDefault="004243D5">
      <w:pPr>
        <w:pBdr>
          <w:top w:val="nil"/>
          <w:left w:val="nil"/>
          <w:bottom w:val="nil"/>
          <w:right w:val="nil"/>
          <w:between w:val="nil"/>
        </w:pBdr>
        <w:spacing w:after="0" w:line="240" w:lineRule="auto"/>
        <w:rPr>
          <w:sz w:val="20"/>
          <w:szCs w:val="20"/>
        </w:rPr>
      </w:pPr>
      <w:r w:rsidRPr="00400489">
        <w:rPr>
          <w:rStyle w:val="FootnoteReference"/>
        </w:rPr>
        <w:footnoteRef/>
      </w:r>
      <w:r w:rsidRPr="00400489">
        <w:rPr>
          <w:sz w:val="20"/>
          <w:szCs w:val="20"/>
        </w:rPr>
        <w:t xml:space="preserve"> “Halifax Abuse Principle” means the principle explained in the CJEU Case C-255/02 Halifax and others</w:t>
      </w:r>
    </w:p>
  </w:footnote>
  <w:footnote w:id="5">
    <w:p w14:paraId="4B4CDDAE" w14:textId="77777777" w:rsidR="004243D5" w:rsidRPr="00400489" w:rsidRDefault="004243D5">
      <w:pPr>
        <w:pBdr>
          <w:top w:val="nil"/>
          <w:left w:val="nil"/>
          <w:bottom w:val="nil"/>
          <w:right w:val="nil"/>
          <w:between w:val="nil"/>
        </w:pBdr>
        <w:spacing w:after="0" w:line="240" w:lineRule="auto"/>
        <w:jc w:val="both"/>
        <w:rPr>
          <w:sz w:val="20"/>
          <w:szCs w:val="20"/>
        </w:rPr>
      </w:pPr>
      <w:r w:rsidRPr="00400489">
        <w:rPr>
          <w:rStyle w:val="FootnoteReference"/>
        </w:rPr>
        <w:footnoteRef/>
      </w:r>
      <w:r w:rsidRPr="00400489">
        <w:rPr>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5EE132AD" w14:textId="77777777" w:rsidR="004243D5" w:rsidRDefault="004243D5">
      <w:pPr>
        <w:pBdr>
          <w:top w:val="nil"/>
          <w:left w:val="nil"/>
          <w:bottom w:val="nil"/>
          <w:right w:val="nil"/>
          <w:between w:val="nil"/>
        </w:pBdr>
        <w:spacing w:after="0" w:line="240" w:lineRule="auto"/>
        <w:jc w:val="both"/>
        <w:rPr>
          <w:sz w:val="20"/>
          <w:szCs w:val="20"/>
        </w:rPr>
      </w:pPr>
      <w:r w:rsidRPr="00400489">
        <w:rPr>
          <w:rStyle w:val="FootnoteReference"/>
        </w:rPr>
        <w:footnoteRef/>
      </w:r>
      <w:r w:rsidRPr="00400489">
        <w:rPr>
          <w:sz w:val="20"/>
          <w:szCs w:val="20"/>
        </w:rPr>
        <w:t xml:space="preserve"> The full definition of ‘Anti-avoidance rule’ can be found at Paragraph 25(1) of Schedule 18 to the Finance Act 2016 and Condition 2 (a) above shall be construed accordingly.   </w:t>
      </w:r>
      <w:r>
        <w:rPr>
          <w:sz w:val="20"/>
          <w:szCs w:val="20"/>
        </w:rPr>
        <w:t xml:space="preserve">  </w:t>
      </w:r>
    </w:p>
  </w:footnote>
  <w:footnote w:id="7">
    <w:p w14:paraId="00620838" w14:textId="77777777" w:rsidR="004243D5" w:rsidRDefault="004243D5">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r>
        <w:rPr>
          <w:sz w:val="20"/>
          <w:szCs w:val="20"/>
        </w:rPr>
        <w:t xml:space="preserve">  </w:t>
      </w:r>
    </w:p>
  </w:footnote>
  <w:footnote w:id="8">
    <w:p w14:paraId="4BE1F900" w14:textId="77777777" w:rsidR="004243D5" w:rsidRDefault="004243D5">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03ED" w14:textId="77777777" w:rsidR="004243D5" w:rsidRPr="00400489" w:rsidRDefault="004243D5">
    <w:pPr>
      <w:tabs>
        <w:tab w:val="center" w:pos="4153"/>
        <w:tab w:val="right" w:pos="8306"/>
      </w:tabs>
      <w:spacing w:after="0" w:line="240" w:lineRule="auto"/>
      <w:jc w:val="both"/>
      <w:rPr>
        <w:rFonts w:eastAsia="Arial"/>
        <w:sz w:val="22"/>
        <w:szCs w:val="22"/>
      </w:rPr>
    </w:pPr>
    <w:r w:rsidRPr="00400489">
      <w:rPr>
        <w:rFonts w:eastAsia="Arial"/>
        <w:b/>
        <w:sz w:val="22"/>
        <w:szCs w:val="22"/>
      </w:rPr>
      <w:t>Call-Off Schedule 23 (HMRC Terms)</w:t>
    </w:r>
  </w:p>
  <w:p w14:paraId="4A0458EA" w14:textId="77777777" w:rsidR="004243D5" w:rsidRPr="00400489" w:rsidRDefault="004243D5">
    <w:pPr>
      <w:tabs>
        <w:tab w:val="center" w:pos="4153"/>
        <w:tab w:val="right" w:pos="8306"/>
      </w:tabs>
      <w:spacing w:after="0" w:line="240" w:lineRule="auto"/>
      <w:rPr>
        <w:rFonts w:eastAsia="Arial"/>
        <w:sz w:val="22"/>
        <w:szCs w:val="22"/>
      </w:rPr>
    </w:pPr>
    <w:r w:rsidRPr="00400489">
      <w:rPr>
        <w:rFonts w:eastAsia="Arial"/>
        <w:sz w:val="22"/>
        <w:szCs w:val="22"/>
      </w:rPr>
      <w:t>Call-Off Ref:</w:t>
    </w:r>
  </w:p>
  <w:p w14:paraId="23D3DD3B" w14:textId="18B247D9" w:rsidR="004243D5" w:rsidRPr="00400489" w:rsidRDefault="004243D5">
    <w:pPr>
      <w:tabs>
        <w:tab w:val="center" w:pos="4153"/>
        <w:tab w:val="right" w:pos="8306"/>
      </w:tabs>
      <w:spacing w:after="0" w:line="240" w:lineRule="auto"/>
      <w:rPr>
        <w:rFonts w:eastAsia="Arial"/>
        <w:sz w:val="22"/>
        <w:szCs w:val="22"/>
      </w:rPr>
    </w:pPr>
    <w:r w:rsidRPr="00400489">
      <w:rPr>
        <w:rFonts w:eastAsia="Arial"/>
        <w:sz w:val="22"/>
        <w:szCs w:val="22"/>
      </w:rPr>
      <w:t>Crown Copyright 202</w:t>
    </w:r>
    <w:r w:rsidR="00F17EA7" w:rsidRPr="00400489">
      <w:rPr>
        <w:rFonts w:eastAsia="Arial"/>
        <w:sz w:val="22"/>
        <w:szCs w:val="22"/>
      </w:rPr>
      <w:t>5</w:t>
    </w:r>
  </w:p>
  <w:p w14:paraId="0A7B09AE" w14:textId="77777777" w:rsidR="00400489" w:rsidRDefault="00400489">
    <w:pPr>
      <w:tabs>
        <w:tab w:val="center" w:pos="4153"/>
        <w:tab w:val="right" w:pos="830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3571"/>
    <w:multiLevelType w:val="multilevel"/>
    <w:tmpl w:val="F710E466"/>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0486050"/>
    <w:multiLevelType w:val="multilevel"/>
    <w:tmpl w:val="6D80623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27714CCA"/>
    <w:multiLevelType w:val="multilevel"/>
    <w:tmpl w:val="3B84B4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7516C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02025D1"/>
    <w:multiLevelType w:val="multilevel"/>
    <w:tmpl w:val="D85E1D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58B6F6C"/>
    <w:multiLevelType w:val="multilevel"/>
    <w:tmpl w:val="B2CE33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4B2ABA"/>
    <w:multiLevelType w:val="multilevel"/>
    <w:tmpl w:val="9E386DF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6AA22495"/>
    <w:multiLevelType w:val="multilevel"/>
    <w:tmpl w:val="920EA11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lowerLetter"/>
      <w:lvlText w:val="(%4)"/>
      <w:lvlJc w:val="left"/>
      <w:pPr>
        <w:ind w:left="1728" w:hanging="647"/>
      </w:pPr>
      <w:rPr>
        <w:rFonts w:ascii="Arial" w:eastAsia="Arial" w:hAnsi="Arial" w:cs="Arial"/>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07755C4"/>
    <w:multiLevelType w:val="multilevel"/>
    <w:tmpl w:val="1D640F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55932991">
    <w:abstractNumId w:val="8"/>
  </w:num>
  <w:num w:numId="2" w16cid:durableId="1146430192">
    <w:abstractNumId w:val="6"/>
  </w:num>
  <w:num w:numId="3" w16cid:durableId="780996237">
    <w:abstractNumId w:val="2"/>
  </w:num>
  <w:num w:numId="4" w16cid:durableId="965042915">
    <w:abstractNumId w:val="0"/>
  </w:num>
  <w:num w:numId="5" w16cid:durableId="1114054123">
    <w:abstractNumId w:val="5"/>
  </w:num>
  <w:num w:numId="6" w16cid:durableId="456459426">
    <w:abstractNumId w:val="4"/>
  </w:num>
  <w:num w:numId="7" w16cid:durableId="496772458">
    <w:abstractNumId w:val="9"/>
  </w:num>
  <w:num w:numId="8" w16cid:durableId="9064462">
    <w:abstractNumId w:val="7"/>
  </w:num>
  <w:num w:numId="9" w16cid:durableId="1981373474">
    <w:abstractNumId w:val="1"/>
  </w:num>
  <w:num w:numId="10" w16cid:durableId="5588285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EB1"/>
    <w:rsid w:val="00003908"/>
    <w:rsid w:val="00046D7A"/>
    <w:rsid w:val="001379B4"/>
    <w:rsid w:val="00197212"/>
    <w:rsid w:val="00400489"/>
    <w:rsid w:val="00407FCC"/>
    <w:rsid w:val="004243D5"/>
    <w:rsid w:val="004562FA"/>
    <w:rsid w:val="0049715B"/>
    <w:rsid w:val="005A132A"/>
    <w:rsid w:val="00624A99"/>
    <w:rsid w:val="006B0EB1"/>
    <w:rsid w:val="006F6EF9"/>
    <w:rsid w:val="00732676"/>
    <w:rsid w:val="007B39FE"/>
    <w:rsid w:val="007C2D80"/>
    <w:rsid w:val="007C3396"/>
    <w:rsid w:val="008033D1"/>
    <w:rsid w:val="00822957"/>
    <w:rsid w:val="00884279"/>
    <w:rsid w:val="008D118E"/>
    <w:rsid w:val="008E0638"/>
    <w:rsid w:val="008F6EA5"/>
    <w:rsid w:val="00930599"/>
    <w:rsid w:val="00B96426"/>
    <w:rsid w:val="00BE1177"/>
    <w:rsid w:val="00C154BB"/>
    <w:rsid w:val="00C769F5"/>
    <w:rsid w:val="00C97E5C"/>
    <w:rsid w:val="00CA7CC2"/>
    <w:rsid w:val="00CB3CE3"/>
    <w:rsid w:val="00CC0B86"/>
    <w:rsid w:val="00D061FC"/>
    <w:rsid w:val="00D167FC"/>
    <w:rsid w:val="00D25A57"/>
    <w:rsid w:val="00F17EA7"/>
    <w:rsid w:val="00F4191E"/>
    <w:rsid w:val="00F76A94"/>
    <w:rsid w:val="00FB1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7008"/>
  <w15:docId w15:val="{9607104E-74C7-484B-B9A1-83789021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color w:val="000000"/>
        <w:sz w:val="24"/>
        <w:szCs w:val="24"/>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971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zTCtr5vWqlJo+qOJvChNwy+8Jw==">AMUW2mUoeLUsjUyOufOr0jDEfWWp81cIWmMJ+y+hebsmrzsep4u+29PI+sDr6l/uPbxkIHjYZ7sJ59aEgd/KZLMS5P/YKIliJgkOoD72CLWzklCm4PZAhUfnZlIa7xoTl1KYqWOU2F6Gncah0J9HApJVJGN36hNPFVjHnLUYiTHfRwnGcNwhO3ipRLdfPA097Vitw3SEbcSZn4iDHdodc5Sc7C1huEyJ7KlATBBzTDI5ID/1RDmzmKOS66LMuRSeePllarSjNMazwfuDu/n0g2TWTm/jbA6caXcmXN9DjiZRsGu6eWyHL0K4Xp/DH2E0HwO7GvXf2ppESzEAbR32a2fg7RkWlC/aYBo2cNgJxGGHxfhHz+ny7jNOOCmbVaxSWseWqFvEfY7T644tDe5yq9nXk7LP4aBb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2724</Words>
  <Characters>15529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Matthew Theobald-Cearns</cp:lastModifiedBy>
  <cp:revision>7</cp:revision>
  <cp:lastPrinted>2025-05-22T13:48:00Z</cp:lastPrinted>
  <dcterms:created xsi:type="dcterms:W3CDTF">2025-05-22T13:47:00Z</dcterms:created>
  <dcterms:modified xsi:type="dcterms:W3CDTF">2025-05-22T13:49:00Z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iManageFooter">
    <vt:lpwstr>73941919v1</vt:lpwstr>
  </property>
</Properties>
</file>